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DA7D5" w14:textId="49B1B6A4" w:rsidR="00E435F3" w:rsidRPr="00ED673F" w:rsidRDefault="00E435F3" w:rsidP="00313EE7">
      <w:pPr>
        <w:pStyle w:val="TITLE1"/>
        <w:spacing w:before="1701"/>
        <w:rPr>
          <w:color w:val="FFFFFF" w:themeColor="background1"/>
        </w:rPr>
      </w:pPr>
      <w:bookmarkStart w:id="0" w:name="_GoBack"/>
      <w:bookmarkEnd w:id="0"/>
      <w:r w:rsidRPr="00ED673F">
        <w:rPr>
          <w:color w:val="FFFFFF" w:themeColor="background1"/>
        </w:rPr>
        <w:t xml:space="preserve">10-Year Financial Outlook </w:t>
      </w:r>
    </w:p>
    <w:p w14:paraId="0B0E2985" w14:textId="73F745AD" w:rsidR="00C95F79" w:rsidRPr="00ED673F" w:rsidRDefault="00E435F3" w:rsidP="00F65372">
      <w:pPr>
        <w:pStyle w:val="Title20"/>
        <w:rPr>
          <w:color w:val="FFFFFF" w:themeColor="background1"/>
        </w:rPr>
      </w:pPr>
      <w:r w:rsidRPr="00ED673F">
        <w:rPr>
          <w:color w:val="FFFFFF" w:themeColor="background1"/>
        </w:rPr>
        <w:t>2018-2028</w:t>
      </w:r>
    </w:p>
    <w:p w14:paraId="5433F917" w14:textId="499F1FF4" w:rsidR="00ED673F" w:rsidRPr="00ED673F" w:rsidRDefault="00ED673F" w:rsidP="00C95F79">
      <w:pPr>
        <w:tabs>
          <w:tab w:val="clear" w:pos="-3060"/>
          <w:tab w:val="clear" w:pos="-2340"/>
          <w:tab w:val="clear" w:pos="6300"/>
        </w:tabs>
        <w:suppressAutoHyphens w:val="0"/>
        <w:spacing w:after="160" w:line="259" w:lineRule="auto"/>
        <w:rPr>
          <w:rFonts w:eastAsia="Calibri"/>
          <w:i/>
          <w:color w:val="auto"/>
          <w:sz w:val="18"/>
          <w:szCs w:val="18"/>
          <w:lang w:eastAsia="en-US"/>
        </w:rPr>
      </w:pPr>
    </w:p>
    <w:p w14:paraId="6537B516" w14:textId="7899A130" w:rsidR="00ED673F" w:rsidRPr="00ED673F" w:rsidRDefault="0023681B">
      <w:pPr>
        <w:tabs>
          <w:tab w:val="clear" w:pos="-3060"/>
          <w:tab w:val="clear" w:pos="-2340"/>
          <w:tab w:val="clear" w:pos="6300"/>
        </w:tabs>
        <w:suppressAutoHyphens w:val="0"/>
        <w:spacing w:after="160" w:line="259" w:lineRule="auto"/>
        <w:rPr>
          <w:rFonts w:eastAsia="Calibri"/>
          <w:i/>
          <w:color w:val="auto"/>
          <w:sz w:val="18"/>
          <w:szCs w:val="18"/>
          <w:lang w:eastAsia="en-US"/>
        </w:rPr>
      </w:pPr>
      <w:r w:rsidRPr="0023681B">
        <w:rPr>
          <w:rFonts w:eastAsia="Calibri"/>
          <w:i/>
          <w:color w:val="auto"/>
          <w:sz w:val="18"/>
          <w:szCs w:val="18"/>
        </w:rPr>
        <w:drawing>
          <wp:anchor distT="0" distB="0" distL="114300" distR="114300" simplePos="0" relativeHeight="251660288" behindDoc="0" locked="0" layoutInCell="1" allowOverlap="1" wp14:anchorId="640344A9" wp14:editId="003A4800">
            <wp:simplePos x="0" y="0"/>
            <wp:positionH relativeFrom="margin">
              <wp:align>center</wp:align>
            </wp:positionH>
            <wp:positionV relativeFrom="paragraph">
              <wp:posOffset>1967230</wp:posOffset>
            </wp:positionV>
            <wp:extent cx="7515225" cy="5014064"/>
            <wp:effectExtent l="0" t="0" r="0" b="0"/>
            <wp:wrapNone/>
            <wp:docPr id="2" name="Picture 2" descr="C:\Users\pliu\AppData\Local\Microsoft\Windows\Temporary Internet Files\Content.Outlook\2Z08O29R\IMG_7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iu\AppData\Local\Microsoft\Windows\Temporary Internet Files\Content.Outlook\2Z08O29R\IMG_70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5225" cy="5014064"/>
                    </a:xfrm>
                    <a:prstGeom prst="rect">
                      <a:avLst/>
                    </a:prstGeom>
                    <a:noFill/>
                    <a:ln>
                      <a:noFill/>
                    </a:ln>
                  </pic:spPr>
                </pic:pic>
              </a:graphicData>
            </a:graphic>
            <wp14:sizeRelH relativeFrom="page">
              <wp14:pctWidth>0</wp14:pctWidth>
            </wp14:sizeRelH>
            <wp14:sizeRelV relativeFrom="page">
              <wp14:pctHeight>0</wp14:pctHeight>
            </wp14:sizeRelV>
          </wp:anchor>
        </w:drawing>
      </w:r>
      <w:r w:rsidR="00ED673F" w:rsidRPr="00ED673F">
        <w:rPr>
          <w:rFonts w:eastAsia="Calibri"/>
          <w:i/>
          <w:color w:val="auto"/>
          <w:sz w:val="18"/>
          <w:szCs w:val="18"/>
          <w:lang w:eastAsia="en-US"/>
        </w:rPr>
        <w:br w:type="page"/>
      </w:r>
    </w:p>
    <w:p w14:paraId="77E1AF09" w14:textId="77777777" w:rsidR="00ED673F" w:rsidRPr="00ED673F" w:rsidRDefault="00ED673F" w:rsidP="00ED673F">
      <w:pPr>
        <w:spacing w:after="0"/>
        <w:rPr>
          <w:szCs w:val="24"/>
        </w:rPr>
      </w:pPr>
    </w:p>
    <w:p w14:paraId="2804DCE3" w14:textId="77777777" w:rsidR="00ED673F" w:rsidRPr="00ED673F" w:rsidRDefault="00ED673F" w:rsidP="00ED673F">
      <w:pPr>
        <w:pStyle w:val="BodyText"/>
        <w:rPr>
          <w:rFonts w:ascii="Arial" w:hAnsi="Arial" w:cs="Arial"/>
        </w:rPr>
      </w:pPr>
    </w:p>
    <w:p w14:paraId="5D9ACA9A" w14:textId="77777777" w:rsidR="00ED673F" w:rsidRPr="00ED673F" w:rsidRDefault="00ED673F" w:rsidP="00ED673F">
      <w:pPr>
        <w:rPr>
          <w:b/>
          <w:szCs w:val="20"/>
        </w:rPr>
      </w:pPr>
      <w:r w:rsidRPr="00ED673F">
        <w:rPr>
          <w:b/>
          <w:szCs w:val="20"/>
        </w:rPr>
        <w:t xml:space="preserve">Table of contents </w:t>
      </w:r>
    </w:p>
    <w:tbl>
      <w:tblPr>
        <w:tblStyle w:val="TableContemporary"/>
        <w:tblW w:w="0" w:type="auto"/>
        <w:tblLook w:val="04A0" w:firstRow="1" w:lastRow="0" w:firstColumn="1" w:lastColumn="0" w:noHBand="0" w:noVBand="1"/>
      </w:tblPr>
      <w:tblGrid>
        <w:gridCol w:w="7621"/>
        <w:gridCol w:w="1418"/>
      </w:tblGrid>
      <w:tr w:rsidR="00ED673F" w:rsidRPr="00ED673F" w14:paraId="0BBB5FF0" w14:textId="77777777" w:rsidTr="00ED673F">
        <w:trPr>
          <w:cnfStyle w:val="100000000000" w:firstRow="1" w:lastRow="0" w:firstColumn="0" w:lastColumn="0" w:oddVBand="0" w:evenVBand="0" w:oddHBand="0" w:evenHBand="0" w:firstRowFirstColumn="0" w:firstRowLastColumn="0" w:lastRowFirstColumn="0" w:lastRowLastColumn="0"/>
          <w:trHeight w:hRule="exact" w:val="340"/>
        </w:trPr>
        <w:tc>
          <w:tcPr>
            <w:tcW w:w="7621" w:type="dxa"/>
          </w:tcPr>
          <w:p w14:paraId="165B637E" w14:textId="77777777" w:rsidR="00ED673F" w:rsidRPr="00ED673F" w:rsidRDefault="00ED673F" w:rsidP="00ED673F">
            <w:pPr>
              <w:pStyle w:val="ListParagraph"/>
              <w:ind w:left="426"/>
              <w:rPr>
                <w:b w:val="0"/>
              </w:rPr>
            </w:pPr>
            <w:r w:rsidRPr="00ED673F">
              <w:rPr>
                <w:b w:val="0"/>
              </w:rPr>
              <w:t>1. Overview and Context</w:t>
            </w:r>
          </w:p>
        </w:tc>
        <w:tc>
          <w:tcPr>
            <w:tcW w:w="1418" w:type="dxa"/>
          </w:tcPr>
          <w:p w14:paraId="4B04A1AE" w14:textId="22A6E625" w:rsidR="00ED673F" w:rsidRPr="00ED673F" w:rsidRDefault="00461C0A" w:rsidP="00ED673F">
            <w:pPr>
              <w:jc w:val="center"/>
              <w:rPr>
                <w:b w:val="0"/>
              </w:rPr>
            </w:pPr>
            <w:r>
              <w:rPr>
                <w:b w:val="0"/>
              </w:rPr>
              <w:t>2</w:t>
            </w:r>
          </w:p>
        </w:tc>
      </w:tr>
      <w:tr w:rsidR="00ED673F" w:rsidRPr="00ED673F" w14:paraId="43292A7B" w14:textId="77777777" w:rsidTr="00ED673F">
        <w:trPr>
          <w:cnfStyle w:val="000000100000" w:firstRow="0" w:lastRow="0" w:firstColumn="0" w:lastColumn="0" w:oddVBand="0" w:evenVBand="0" w:oddHBand="1" w:evenHBand="0" w:firstRowFirstColumn="0" w:firstRowLastColumn="0" w:lastRowFirstColumn="0" w:lastRowLastColumn="0"/>
          <w:trHeight w:hRule="exact" w:val="340"/>
        </w:trPr>
        <w:tc>
          <w:tcPr>
            <w:tcW w:w="7621" w:type="dxa"/>
          </w:tcPr>
          <w:p w14:paraId="2E5C37DB" w14:textId="77777777" w:rsidR="00ED673F" w:rsidRPr="00ED673F" w:rsidRDefault="00ED673F" w:rsidP="00ED673F">
            <w:pPr>
              <w:pStyle w:val="ListParagraph"/>
              <w:ind w:left="426"/>
            </w:pPr>
            <w:r w:rsidRPr="00ED673F">
              <w:t>2. Financial Sustainability</w:t>
            </w:r>
          </w:p>
        </w:tc>
        <w:tc>
          <w:tcPr>
            <w:tcW w:w="1418" w:type="dxa"/>
          </w:tcPr>
          <w:p w14:paraId="22D792D8" w14:textId="3A11FB55" w:rsidR="00ED673F" w:rsidRPr="00ED673F" w:rsidRDefault="00461C0A" w:rsidP="00ED673F">
            <w:pPr>
              <w:jc w:val="center"/>
            </w:pPr>
            <w:r>
              <w:t>7</w:t>
            </w:r>
          </w:p>
        </w:tc>
      </w:tr>
      <w:tr w:rsidR="00ED673F" w:rsidRPr="00ED673F" w14:paraId="241A9EAA" w14:textId="77777777" w:rsidTr="00ED673F">
        <w:trPr>
          <w:cnfStyle w:val="000000010000" w:firstRow="0" w:lastRow="0" w:firstColumn="0" w:lastColumn="0" w:oddVBand="0" w:evenVBand="0" w:oddHBand="0" w:evenHBand="1" w:firstRowFirstColumn="0" w:firstRowLastColumn="0" w:lastRowFirstColumn="0" w:lastRowLastColumn="0"/>
          <w:trHeight w:hRule="exact" w:val="340"/>
        </w:trPr>
        <w:tc>
          <w:tcPr>
            <w:tcW w:w="7621" w:type="dxa"/>
          </w:tcPr>
          <w:p w14:paraId="1D4F8B80" w14:textId="77777777" w:rsidR="00ED673F" w:rsidRPr="00ED673F" w:rsidRDefault="00ED673F" w:rsidP="00ED673F">
            <w:pPr>
              <w:pStyle w:val="ListParagraph"/>
              <w:ind w:left="426"/>
            </w:pPr>
            <w:r w:rsidRPr="00ED673F">
              <w:t>3. Financial Resource Planning Assumptions</w:t>
            </w:r>
          </w:p>
        </w:tc>
        <w:tc>
          <w:tcPr>
            <w:tcW w:w="1418" w:type="dxa"/>
          </w:tcPr>
          <w:p w14:paraId="0FA766AC" w14:textId="2D3F4134" w:rsidR="00ED673F" w:rsidRPr="00ED673F" w:rsidRDefault="00461C0A" w:rsidP="00ED673F">
            <w:pPr>
              <w:jc w:val="center"/>
            </w:pPr>
            <w:r>
              <w:t>11</w:t>
            </w:r>
          </w:p>
        </w:tc>
      </w:tr>
      <w:tr w:rsidR="00ED673F" w:rsidRPr="00ED673F" w14:paraId="43FF00D8" w14:textId="77777777" w:rsidTr="00ED673F">
        <w:trPr>
          <w:cnfStyle w:val="000000100000" w:firstRow="0" w:lastRow="0" w:firstColumn="0" w:lastColumn="0" w:oddVBand="0" w:evenVBand="0" w:oddHBand="1" w:evenHBand="0" w:firstRowFirstColumn="0" w:firstRowLastColumn="0" w:lastRowFirstColumn="0" w:lastRowLastColumn="0"/>
          <w:trHeight w:hRule="exact" w:val="340"/>
        </w:trPr>
        <w:tc>
          <w:tcPr>
            <w:tcW w:w="7621" w:type="dxa"/>
          </w:tcPr>
          <w:p w14:paraId="2C45B2DB" w14:textId="77777777" w:rsidR="00ED673F" w:rsidRPr="00ED673F" w:rsidRDefault="00ED673F" w:rsidP="00ED673F">
            <w:pPr>
              <w:pStyle w:val="ListParagraph"/>
              <w:ind w:left="426"/>
            </w:pPr>
            <w:r w:rsidRPr="00ED673F">
              <w:t>4. Planning for Growth</w:t>
            </w:r>
          </w:p>
        </w:tc>
        <w:tc>
          <w:tcPr>
            <w:tcW w:w="1418" w:type="dxa"/>
          </w:tcPr>
          <w:p w14:paraId="08EB3FE6" w14:textId="13C0BEA7" w:rsidR="00ED673F" w:rsidRPr="00ED673F" w:rsidRDefault="0009533C" w:rsidP="00ED673F">
            <w:pPr>
              <w:jc w:val="center"/>
            </w:pPr>
            <w:r>
              <w:t>13</w:t>
            </w:r>
          </w:p>
        </w:tc>
      </w:tr>
      <w:tr w:rsidR="00ED673F" w:rsidRPr="00ED673F" w14:paraId="193F9E12" w14:textId="77777777" w:rsidTr="00ED673F">
        <w:trPr>
          <w:cnfStyle w:val="000000010000" w:firstRow="0" w:lastRow="0" w:firstColumn="0" w:lastColumn="0" w:oddVBand="0" w:evenVBand="0" w:oddHBand="0" w:evenHBand="1" w:firstRowFirstColumn="0" w:firstRowLastColumn="0" w:lastRowFirstColumn="0" w:lastRowLastColumn="0"/>
          <w:trHeight w:hRule="exact" w:val="340"/>
        </w:trPr>
        <w:tc>
          <w:tcPr>
            <w:tcW w:w="7621" w:type="dxa"/>
          </w:tcPr>
          <w:p w14:paraId="28D03157" w14:textId="77777777" w:rsidR="00ED673F" w:rsidRPr="00ED673F" w:rsidRDefault="00ED673F" w:rsidP="00ED673F">
            <w:pPr>
              <w:pStyle w:val="ListParagraph"/>
              <w:ind w:left="426"/>
            </w:pPr>
            <w:r w:rsidRPr="00ED673F">
              <w:t>5. Non-Financial Resources</w:t>
            </w:r>
          </w:p>
        </w:tc>
        <w:tc>
          <w:tcPr>
            <w:tcW w:w="1418" w:type="dxa"/>
          </w:tcPr>
          <w:p w14:paraId="5601AC66" w14:textId="3B9F9456" w:rsidR="00ED673F" w:rsidRPr="00ED673F" w:rsidRDefault="00461C0A" w:rsidP="00ED673F">
            <w:pPr>
              <w:jc w:val="center"/>
            </w:pPr>
            <w:r>
              <w:t>14</w:t>
            </w:r>
          </w:p>
        </w:tc>
      </w:tr>
      <w:tr w:rsidR="00ED673F" w:rsidRPr="00ED673F" w14:paraId="1705CBD8" w14:textId="77777777" w:rsidTr="00ED673F">
        <w:trPr>
          <w:cnfStyle w:val="000000100000" w:firstRow="0" w:lastRow="0" w:firstColumn="0" w:lastColumn="0" w:oddVBand="0" w:evenVBand="0" w:oddHBand="1" w:evenHBand="0" w:firstRowFirstColumn="0" w:firstRowLastColumn="0" w:lastRowFirstColumn="0" w:lastRowLastColumn="0"/>
          <w:trHeight w:hRule="exact" w:val="340"/>
        </w:trPr>
        <w:tc>
          <w:tcPr>
            <w:tcW w:w="7621" w:type="dxa"/>
          </w:tcPr>
          <w:p w14:paraId="389FEA49" w14:textId="77777777" w:rsidR="00ED673F" w:rsidRPr="00ED673F" w:rsidRDefault="00ED673F" w:rsidP="00ED673F">
            <w:pPr>
              <w:pStyle w:val="ListParagraph"/>
              <w:ind w:left="426"/>
            </w:pPr>
            <w:r w:rsidRPr="00ED673F">
              <w:t>6. Financial Statements</w:t>
            </w:r>
          </w:p>
        </w:tc>
        <w:tc>
          <w:tcPr>
            <w:tcW w:w="1418" w:type="dxa"/>
          </w:tcPr>
          <w:p w14:paraId="69EBD2E0" w14:textId="21528852" w:rsidR="00ED673F" w:rsidRPr="00ED673F" w:rsidRDefault="00461C0A" w:rsidP="00ED673F">
            <w:pPr>
              <w:jc w:val="center"/>
            </w:pPr>
            <w:r>
              <w:t>15</w:t>
            </w:r>
          </w:p>
        </w:tc>
      </w:tr>
      <w:tr w:rsidR="00ED673F" w:rsidRPr="00ED673F" w14:paraId="13385AEA" w14:textId="77777777" w:rsidTr="00ED673F">
        <w:trPr>
          <w:cnfStyle w:val="000000010000" w:firstRow="0" w:lastRow="0" w:firstColumn="0" w:lastColumn="0" w:oddVBand="0" w:evenVBand="0" w:oddHBand="0" w:evenHBand="1" w:firstRowFirstColumn="0" w:firstRowLastColumn="0" w:lastRowFirstColumn="0" w:lastRowLastColumn="0"/>
          <w:trHeight w:hRule="exact" w:val="340"/>
        </w:trPr>
        <w:tc>
          <w:tcPr>
            <w:tcW w:w="7621" w:type="dxa"/>
          </w:tcPr>
          <w:p w14:paraId="5469E998" w14:textId="77777777" w:rsidR="00ED673F" w:rsidRPr="00ED673F" w:rsidRDefault="00ED673F" w:rsidP="00ED673F">
            <w:pPr>
              <w:pStyle w:val="ListParagraph"/>
              <w:ind w:left="426"/>
            </w:pPr>
            <w:r w:rsidRPr="00ED673F">
              <w:t>7. Key Financial Indicators</w:t>
            </w:r>
          </w:p>
        </w:tc>
        <w:tc>
          <w:tcPr>
            <w:tcW w:w="1418" w:type="dxa"/>
          </w:tcPr>
          <w:p w14:paraId="7E335B09" w14:textId="0D154624" w:rsidR="00ED673F" w:rsidRPr="00ED673F" w:rsidRDefault="00461C0A" w:rsidP="00ED673F">
            <w:pPr>
              <w:jc w:val="center"/>
            </w:pPr>
            <w:r>
              <w:t>16</w:t>
            </w:r>
          </w:p>
        </w:tc>
      </w:tr>
      <w:tr w:rsidR="00ED673F" w:rsidRPr="00ED673F" w14:paraId="1738ED32" w14:textId="77777777" w:rsidTr="00ED673F">
        <w:trPr>
          <w:cnfStyle w:val="000000100000" w:firstRow="0" w:lastRow="0" w:firstColumn="0" w:lastColumn="0" w:oddVBand="0" w:evenVBand="0" w:oddHBand="1" w:evenHBand="0" w:firstRowFirstColumn="0" w:firstRowLastColumn="0" w:lastRowFirstColumn="0" w:lastRowLastColumn="0"/>
          <w:trHeight w:hRule="exact" w:val="340"/>
        </w:trPr>
        <w:tc>
          <w:tcPr>
            <w:tcW w:w="7621" w:type="dxa"/>
          </w:tcPr>
          <w:p w14:paraId="7404732F" w14:textId="77777777" w:rsidR="00ED673F" w:rsidRPr="00ED673F" w:rsidRDefault="00ED673F" w:rsidP="00ED673F">
            <w:pPr>
              <w:pStyle w:val="ListParagraph"/>
              <w:ind w:left="426"/>
            </w:pPr>
            <w:r w:rsidRPr="00ED673F">
              <w:t>8. Glossary</w:t>
            </w:r>
          </w:p>
        </w:tc>
        <w:tc>
          <w:tcPr>
            <w:tcW w:w="1418" w:type="dxa"/>
          </w:tcPr>
          <w:p w14:paraId="69C3CA68" w14:textId="546D49D8" w:rsidR="00ED673F" w:rsidRPr="00ED673F" w:rsidRDefault="00461C0A" w:rsidP="00ED673F">
            <w:pPr>
              <w:jc w:val="center"/>
            </w:pPr>
            <w:r>
              <w:t>17</w:t>
            </w:r>
          </w:p>
        </w:tc>
      </w:tr>
    </w:tbl>
    <w:p w14:paraId="7DF062D7" w14:textId="77777777" w:rsidR="00ED673F" w:rsidRPr="00ED673F" w:rsidRDefault="00ED673F" w:rsidP="00ED673F">
      <w:pPr>
        <w:spacing w:after="0"/>
        <w:rPr>
          <w:vanish/>
        </w:rPr>
      </w:pPr>
    </w:p>
    <w:p w14:paraId="0A0CBD7B" w14:textId="77777777" w:rsidR="00ED673F" w:rsidRPr="00ED673F" w:rsidRDefault="00ED673F" w:rsidP="00ED673F">
      <w:pPr>
        <w:pStyle w:val="BodyText"/>
        <w:rPr>
          <w:rFonts w:ascii="Arial" w:hAnsi="Arial" w:cs="Arial"/>
        </w:rPr>
      </w:pPr>
    </w:p>
    <w:p w14:paraId="25CDD667" w14:textId="77777777" w:rsidR="00ED673F" w:rsidRPr="00ED673F" w:rsidRDefault="00ED673F" w:rsidP="00ED673F">
      <w:pPr>
        <w:pStyle w:val="BodyText"/>
        <w:rPr>
          <w:rFonts w:ascii="Arial" w:hAnsi="Arial" w:cs="Arial"/>
        </w:rPr>
      </w:pPr>
    </w:p>
    <w:p w14:paraId="64A6E22A" w14:textId="77777777" w:rsidR="00ED673F" w:rsidRPr="00ED673F" w:rsidRDefault="00ED673F" w:rsidP="00ED673F">
      <w:pPr>
        <w:pStyle w:val="BodyText"/>
        <w:rPr>
          <w:rFonts w:ascii="Arial" w:hAnsi="Arial" w:cs="Arial"/>
        </w:rPr>
      </w:pPr>
    </w:p>
    <w:p w14:paraId="713F60A9" w14:textId="77777777" w:rsidR="00ED673F" w:rsidRPr="00ED673F" w:rsidRDefault="00ED673F" w:rsidP="00ED673F">
      <w:pPr>
        <w:pStyle w:val="BodyText"/>
        <w:rPr>
          <w:rFonts w:ascii="Arial" w:hAnsi="Arial" w:cs="Arial"/>
        </w:rPr>
      </w:pPr>
    </w:p>
    <w:p w14:paraId="276C39D1" w14:textId="77777777" w:rsidR="00ED673F" w:rsidRPr="00ED673F" w:rsidRDefault="00ED673F" w:rsidP="00ED673F">
      <w:pPr>
        <w:pStyle w:val="BodyText"/>
        <w:rPr>
          <w:rFonts w:ascii="Arial" w:hAnsi="Arial" w:cs="Arial"/>
        </w:rPr>
      </w:pPr>
    </w:p>
    <w:p w14:paraId="7DF2DBAB" w14:textId="77777777" w:rsidR="00ED673F" w:rsidRPr="00ED673F" w:rsidRDefault="00ED673F" w:rsidP="00ED673F">
      <w:pPr>
        <w:pStyle w:val="BodyText"/>
        <w:rPr>
          <w:rFonts w:ascii="Arial" w:hAnsi="Arial" w:cs="Arial"/>
        </w:rPr>
      </w:pPr>
    </w:p>
    <w:p w14:paraId="68E219AB" w14:textId="77777777" w:rsidR="00ED673F" w:rsidRPr="00ED673F" w:rsidRDefault="00ED673F" w:rsidP="00ED673F">
      <w:pPr>
        <w:pStyle w:val="BodyText"/>
        <w:rPr>
          <w:rFonts w:ascii="Arial" w:hAnsi="Arial" w:cs="Arial"/>
        </w:rPr>
      </w:pPr>
    </w:p>
    <w:p w14:paraId="44FF9A59" w14:textId="77777777" w:rsidR="00ED673F" w:rsidRPr="00ED673F" w:rsidRDefault="00ED673F" w:rsidP="00ED673F">
      <w:pPr>
        <w:pStyle w:val="BodyText"/>
        <w:rPr>
          <w:rFonts w:ascii="Arial" w:hAnsi="Arial" w:cs="Arial"/>
        </w:rPr>
      </w:pPr>
    </w:p>
    <w:p w14:paraId="1CD13162" w14:textId="77777777" w:rsidR="00ED673F" w:rsidRPr="00ED673F" w:rsidRDefault="00ED673F" w:rsidP="00ED673F">
      <w:pPr>
        <w:pStyle w:val="BodyText"/>
        <w:rPr>
          <w:rFonts w:ascii="Arial" w:hAnsi="Arial" w:cs="Arial"/>
        </w:rPr>
      </w:pPr>
    </w:p>
    <w:p w14:paraId="20604968" w14:textId="77777777" w:rsidR="00ED673F" w:rsidRPr="00ED673F" w:rsidRDefault="00ED673F" w:rsidP="00ED673F">
      <w:pPr>
        <w:pStyle w:val="BodyText"/>
        <w:rPr>
          <w:rFonts w:ascii="Arial" w:hAnsi="Arial" w:cs="Arial"/>
        </w:rPr>
      </w:pPr>
    </w:p>
    <w:p w14:paraId="28ECD53A" w14:textId="77777777" w:rsidR="00ED673F" w:rsidRPr="00ED673F" w:rsidRDefault="00ED673F" w:rsidP="00ED673F">
      <w:pPr>
        <w:pStyle w:val="BodyText"/>
        <w:rPr>
          <w:rFonts w:ascii="Arial" w:hAnsi="Arial" w:cs="Arial"/>
        </w:rPr>
      </w:pPr>
    </w:p>
    <w:p w14:paraId="20BCDFA0" w14:textId="77777777" w:rsidR="00ED673F" w:rsidRPr="00ED673F" w:rsidRDefault="00ED673F" w:rsidP="00ED673F">
      <w:pPr>
        <w:pStyle w:val="BodyText"/>
        <w:rPr>
          <w:rFonts w:ascii="Arial" w:hAnsi="Arial" w:cs="Arial"/>
        </w:rPr>
      </w:pPr>
    </w:p>
    <w:p w14:paraId="08DBB088" w14:textId="77777777" w:rsidR="00ED673F" w:rsidRPr="00ED673F" w:rsidRDefault="00ED673F" w:rsidP="00ED673F">
      <w:pPr>
        <w:pStyle w:val="BodyText"/>
        <w:rPr>
          <w:rFonts w:ascii="Arial" w:hAnsi="Arial" w:cs="Arial"/>
        </w:rPr>
      </w:pPr>
    </w:p>
    <w:p w14:paraId="6F0FF5BE" w14:textId="77777777" w:rsidR="00ED673F" w:rsidRPr="00ED673F" w:rsidRDefault="00ED673F" w:rsidP="00ED673F">
      <w:pPr>
        <w:pStyle w:val="BodyText"/>
        <w:rPr>
          <w:rFonts w:ascii="Arial" w:hAnsi="Arial" w:cs="Arial"/>
        </w:rPr>
      </w:pPr>
    </w:p>
    <w:p w14:paraId="52537DE5" w14:textId="77777777" w:rsidR="00ED673F" w:rsidRPr="00ED673F" w:rsidRDefault="00ED673F" w:rsidP="00ED673F">
      <w:pPr>
        <w:pStyle w:val="BodyText"/>
        <w:rPr>
          <w:rFonts w:ascii="Arial" w:hAnsi="Arial" w:cs="Arial"/>
        </w:rPr>
      </w:pPr>
    </w:p>
    <w:p w14:paraId="6811AE67" w14:textId="77777777" w:rsidR="00ED673F" w:rsidRPr="00ED673F" w:rsidRDefault="00ED673F" w:rsidP="00ED673F">
      <w:pPr>
        <w:pStyle w:val="BodyText"/>
        <w:rPr>
          <w:rFonts w:ascii="Arial" w:hAnsi="Arial" w:cs="Arial"/>
        </w:rPr>
      </w:pPr>
    </w:p>
    <w:p w14:paraId="095C9B0F" w14:textId="77777777" w:rsidR="00ED673F" w:rsidRPr="00ED673F" w:rsidRDefault="00ED673F" w:rsidP="00ED673F">
      <w:pPr>
        <w:pStyle w:val="BodyText"/>
        <w:rPr>
          <w:rFonts w:ascii="Arial" w:hAnsi="Arial" w:cs="Arial"/>
        </w:rPr>
      </w:pPr>
    </w:p>
    <w:p w14:paraId="40B548AB" w14:textId="77777777" w:rsidR="00ED673F" w:rsidRPr="00ED673F" w:rsidRDefault="00ED673F" w:rsidP="00ED673F">
      <w:pPr>
        <w:rPr>
          <w:b/>
          <w:color w:val="948A54"/>
          <w:sz w:val="24"/>
        </w:rPr>
      </w:pPr>
    </w:p>
    <w:p w14:paraId="05B1A722" w14:textId="77777777" w:rsidR="00ED673F" w:rsidRPr="00ED673F" w:rsidRDefault="00ED673F" w:rsidP="00ED673F">
      <w:pPr>
        <w:rPr>
          <w:b/>
          <w:color w:val="948A54"/>
          <w:sz w:val="24"/>
        </w:rPr>
      </w:pPr>
    </w:p>
    <w:p w14:paraId="0B65831E" w14:textId="77777777" w:rsidR="00ED673F" w:rsidRDefault="00ED673F" w:rsidP="00ED673F">
      <w:pPr>
        <w:rPr>
          <w:b/>
          <w:color w:val="948A54"/>
          <w:sz w:val="24"/>
        </w:rPr>
      </w:pPr>
    </w:p>
    <w:p w14:paraId="6E4CA328" w14:textId="77777777" w:rsidR="00ED673F" w:rsidRPr="00ED673F" w:rsidRDefault="00ED673F" w:rsidP="00ED673F">
      <w:pPr>
        <w:rPr>
          <w:b/>
          <w:color w:val="948A54"/>
          <w:sz w:val="24"/>
        </w:rPr>
      </w:pPr>
    </w:p>
    <w:p w14:paraId="5063DF7A" w14:textId="77777777" w:rsidR="00ED673F" w:rsidRPr="00ED673F" w:rsidRDefault="00ED673F" w:rsidP="00ED673F">
      <w:pPr>
        <w:rPr>
          <w:b/>
          <w:color w:val="948A54"/>
          <w:sz w:val="24"/>
        </w:rPr>
      </w:pPr>
    </w:p>
    <w:p w14:paraId="106CF043" w14:textId="77777777" w:rsidR="00ED673F" w:rsidRDefault="00ED673F" w:rsidP="00ED673F">
      <w:pPr>
        <w:rPr>
          <w:b/>
          <w:color w:val="948A54"/>
          <w:sz w:val="24"/>
        </w:rPr>
      </w:pPr>
    </w:p>
    <w:p w14:paraId="3E49E44D" w14:textId="77777777" w:rsidR="00ED673F" w:rsidRDefault="00ED673F" w:rsidP="00ED673F">
      <w:pPr>
        <w:rPr>
          <w:b/>
          <w:color w:val="948A54"/>
          <w:sz w:val="24"/>
        </w:rPr>
      </w:pPr>
    </w:p>
    <w:p w14:paraId="0484CA53" w14:textId="77777777" w:rsidR="00ED673F" w:rsidRDefault="00ED673F" w:rsidP="00ED673F">
      <w:pPr>
        <w:rPr>
          <w:b/>
          <w:color w:val="948A54"/>
          <w:sz w:val="24"/>
        </w:rPr>
      </w:pPr>
    </w:p>
    <w:p w14:paraId="22813366" w14:textId="77777777" w:rsidR="00ED673F" w:rsidRPr="00ED673F" w:rsidRDefault="00ED673F" w:rsidP="00ED673F">
      <w:pPr>
        <w:rPr>
          <w:b/>
          <w:sz w:val="96"/>
          <w:szCs w:val="72"/>
        </w:rPr>
      </w:pPr>
      <w:r w:rsidRPr="00ED673F">
        <w:rPr>
          <w:b/>
          <w:color w:val="948A54"/>
          <w:sz w:val="24"/>
        </w:rPr>
        <w:t>1. Overview and Context</w:t>
      </w:r>
    </w:p>
    <w:p w14:paraId="519D8EFE" w14:textId="77777777" w:rsidR="00ED673F" w:rsidRPr="00ED673F" w:rsidRDefault="00ED673F" w:rsidP="00ED673F">
      <w:pPr>
        <w:rPr>
          <w:b/>
          <w:color w:val="948A54"/>
        </w:rPr>
      </w:pPr>
      <w:r w:rsidRPr="00ED673F">
        <w:rPr>
          <w:b/>
          <w:color w:val="948A54"/>
        </w:rPr>
        <w:t>1.1 Background</w:t>
      </w:r>
    </w:p>
    <w:p w14:paraId="2483964B" w14:textId="77777777" w:rsidR="00ED673F" w:rsidRPr="00ED673F" w:rsidRDefault="00ED673F" w:rsidP="00ED673F">
      <w:pPr>
        <w:jc w:val="both"/>
      </w:pPr>
      <w:r w:rsidRPr="00ED673F">
        <w:t xml:space="preserve">Financial sustainability is a key objective of the City of Port Phillip (Council), as a sound financial base is required for Council to continue to deliver valued services to the community. </w:t>
      </w:r>
    </w:p>
    <w:p w14:paraId="672983ED" w14:textId="77777777" w:rsidR="00ED673F" w:rsidRPr="00ED673F" w:rsidRDefault="00ED673F" w:rsidP="00ED673F">
      <w:pPr>
        <w:jc w:val="both"/>
      </w:pPr>
      <w:r w:rsidRPr="00ED673F">
        <w:t>The 10-Year Financial Outlook (Outlook) supports Council to achieve financial sustainability, particularly in the face of the significant challenge posed by the introduction of rates capping. The Outlook also provides the context within which the Council can formulate the Council Plan, Strategic Resource Plan, and Budget and enable the Council to plan for the financial impacts of growth.</w:t>
      </w:r>
    </w:p>
    <w:p w14:paraId="3EB6FC48" w14:textId="77777777" w:rsidR="00ED673F" w:rsidRPr="00ED673F" w:rsidRDefault="00ED673F" w:rsidP="00ED673F">
      <w:pPr>
        <w:jc w:val="both"/>
      </w:pPr>
      <w:r w:rsidRPr="00ED673F">
        <w:t>The Outlook demonstrates the long term financial implications of Council’s revenue and expenditure projections. The Outlook is prepared and revised annually to reflect the changing environment within which Council operates. This includes consideration of the information gathered internally as well as the significant external factors that impact on Council at any point in time.</w:t>
      </w:r>
    </w:p>
    <w:p w14:paraId="0CF92030" w14:textId="77777777" w:rsidR="00ED673F" w:rsidRPr="00ED673F" w:rsidRDefault="00ED673F" w:rsidP="00ED673F">
      <w:pPr>
        <w:jc w:val="both"/>
        <w:rPr>
          <w:highlight w:val="yellow"/>
        </w:rPr>
      </w:pPr>
      <w:r w:rsidRPr="00ED673F">
        <w:t>The financial resources outlined in the Outlook are used to deliver council services and strategic initiatives as outlined in the Council Plan 2017-2027.</w:t>
      </w:r>
    </w:p>
    <w:p w14:paraId="4C549699" w14:textId="77777777" w:rsidR="00ED673F" w:rsidRPr="00ED673F" w:rsidRDefault="00ED673F" w:rsidP="00ED673F">
      <w:pPr>
        <w:rPr>
          <w:b/>
          <w:color w:val="948A54"/>
        </w:rPr>
      </w:pPr>
      <w:r w:rsidRPr="00ED673F">
        <w:rPr>
          <w:b/>
          <w:color w:val="948A54"/>
        </w:rPr>
        <w:t>1.2 Key Outcomes of the Outlook: Identifying the Impact of Rates Capping</w:t>
      </w:r>
    </w:p>
    <w:p w14:paraId="64223828" w14:textId="77777777" w:rsidR="00ED673F" w:rsidRPr="00ED673F" w:rsidRDefault="00ED673F" w:rsidP="00ED673F">
      <w:pPr>
        <w:jc w:val="both"/>
      </w:pPr>
      <w:r w:rsidRPr="00ED673F">
        <w:t xml:space="preserve">Council recognises the rising community concern regarding the affordability of Council services, with rates and other essential services forming an increasing share of average household expenditure. </w:t>
      </w:r>
    </w:p>
    <w:p w14:paraId="0FD148CD" w14:textId="77777777" w:rsidR="00ED673F" w:rsidRPr="00ED673F" w:rsidRDefault="00ED673F" w:rsidP="00ED673F">
      <w:pPr>
        <w:jc w:val="both"/>
      </w:pPr>
      <w:r w:rsidRPr="00ED673F">
        <w:t>The community’s expectation for better value in Council service delivery has been reflected in Council’s decision making. Council is continuing to put in place initiatives to ensure that its services are delivered in the most efficient and effective manner possible. These initiatives include a successful drive for efficiency savings, with Council identifying permanent operational savings of $2 million for the Budget 2017/18, in addition to the $7 million of savings identified from Budgets 2014/15 to 2016/17.</w:t>
      </w:r>
    </w:p>
    <w:p w14:paraId="6AE29405" w14:textId="77777777" w:rsidR="00ED673F" w:rsidRPr="00ED673F" w:rsidRDefault="00ED673F" w:rsidP="00ED673F">
      <w:pPr>
        <w:jc w:val="both"/>
      </w:pPr>
      <w:r w:rsidRPr="00ED673F">
        <w:t xml:space="preserve">Embedded in the Outlook are efficiency saving targets between $1.6 million to $2.0 million, 1% to 1.5% of operating expenditure (less depreciation) over the 2018-2027 period. </w:t>
      </w:r>
    </w:p>
    <w:p w14:paraId="115582D3" w14:textId="77777777" w:rsidR="00ED673F" w:rsidRPr="00ED673F" w:rsidRDefault="00ED673F" w:rsidP="00ED673F">
      <w:pPr>
        <w:jc w:val="both"/>
      </w:pPr>
      <w:r w:rsidRPr="00ED673F">
        <w:t>The State Government has also responded to the affordability concerns of the community by capping rate increases from 2016/17. In this Outlook, Council demonstrates the significant impact that rate capping will have on its financial position.</w:t>
      </w:r>
    </w:p>
    <w:p w14:paraId="188887A3" w14:textId="77777777" w:rsidR="00ED673F" w:rsidRPr="00ED673F" w:rsidRDefault="00ED673F" w:rsidP="00ED673F">
      <w:pPr>
        <w:jc w:val="both"/>
      </w:pPr>
      <w:r w:rsidRPr="00ED673F">
        <w:t xml:space="preserve">The level of the rates cap in 2018/19 and beyond is still highly uncertain. The Essential Services Commission (ESC), Victoria’s independent economic regulator, recommended that the rates cap be set a level that reflects movements in the consumer price index (CPI) and the wage price index (WPI), as wages form a significant proportion of council’s costs. </w:t>
      </w:r>
    </w:p>
    <w:p w14:paraId="48C8276B" w14:textId="77777777" w:rsidR="00ED673F" w:rsidRPr="00ED673F" w:rsidRDefault="00ED673F" w:rsidP="00ED673F">
      <w:pPr>
        <w:jc w:val="both"/>
      </w:pPr>
      <w:r w:rsidRPr="00ED673F">
        <w:t>For 2017/18 the ESC recommended a 2.15% rate cap based on its formula.  However this was not accepted by the Minister of Local Government and instead a lower cap of 2.0% based solely on CPI was applied.  This follows from a lower cap applied in 2016/17 of 2.5% compared to the ESC recommended cap of 2.8%. The rates cap for 2018/19 will not formally be announced by the State Government until late December 2017.</w:t>
      </w:r>
    </w:p>
    <w:p w14:paraId="419D1E58" w14:textId="77777777" w:rsidR="00ED673F" w:rsidRPr="00ED673F" w:rsidRDefault="00ED673F" w:rsidP="00ED673F">
      <w:pPr>
        <w:jc w:val="both"/>
      </w:pPr>
      <w:r w:rsidRPr="00ED673F">
        <w:t xml:space="preserve">Work is in progress by the ESC to release a position paper expected in December 2017 following the consultation process which outlined a number of methodologies in setting the efficiency factor for the rates cap formula.  It is possible that future rates cap could be less than CPI. </w:t>
      </w:r>
    </w:p>
    <w:p w14:paraId="1F414CA8" w14:textId="77777777" w:rsidR="004256FA" w:rsidRDefault="00ED673F" w:rsidP="00ED673F">
      <w:pPr>
        <w:jc w:val="both"/>
      </w:pPr>
      <w:r w:rsidRPr="00ED673F">
        <w:t xml:space="preserve">The Outlook assumes a rate cap based on the current ESC recommended methodology. However, given the uncertainty, scenario analysis has been completed for a rates cap assumption of 1.5%.  </w:t>
      </w:r>
    </w:p>
    <w:p w14:paraId="43A1F414" w14:textId="4AF7A2C2" w:rsidR="00ED673F" w:rsidRPr="00ED673F" w:rsidRDefault="00ED673F" w:rsidP="00ED673F">
      <w:pPr>
        <w:jc w:val="both"/>
      </w:pPr>
      <w:r w:rsidRPr="00D12C9A">
        <w:t xml:space="preserve">While the </w:t>
      </w:r>
      <w:r w:rsidR="004256FA" w:rsidRPr="00D12C9A">
        <w:t>rates capping impact has been addressed over the 10-year o</w:t>
      </w:r>
      <w:r w:rsidRPr="00D12C9A">
        <w:t xml:space="preserve">utlook under the ESC </w:t>
      </w:r>
      <w:r w:rsidR="00D12C9A" w:rsidRPr="00D12C9A">
        <w:t xml:space="preserve">and CPI scenarios, </w:t>
      </w:r>
      <w:r w:rsidR="004256FA" w:rsidRPr="00D12C9A">
        <w:t xml:space="preserve">the accumulated challenge </w:t>
      </w:r>
      <w:r w:rsidR="00D12C9A" w:rsidRPr="00D12C9A">
        <w:t>i</w:t>
      </w:r>
      <w:r w:rsidR="004256FA" w:rsidRPr="00D12C9A">
        <w:t xml:space="preserve">s quantified at </w:t>
      </w:r>
      <w:r w:rsidRPr="00D12C9A">
        <w:t>$</w:t>
      </w:r>
      <w:r w:rsidR="00E07C5A">
        <w:t>12.1</w:t>
      </w:r>
      <w:r w:rsidRPr="00D12C9A">
        <w:t xml:space="preserve"> million if 1.5% per annum is used.</w:t>
      </w:r>
      <w:r w:rsidRPr="00ED673F">
        <w:t xml:space="preserve"> </w:t>
      </w:r>
    </w:p>
    <w:p w14:paraId="371D8280" w14:textId="1E0AEE6D" w:rsidR="00ED673F" w:rsidRPr="00ED673F" w:rsidRDefault="004256FA" w:rsidP="00ED673F">
      <w:r>
        <w:t>T</w:t>
      </w:r>
      <w:r w:rsidR="00ED673F" w:rsidRPr="00ED673F">
        <w:t xml:space="preserve">he full impact of funding and financing </w:t>
      </w:r>
      <w:r w:rsidR="0002705F">
        <w:t>Fisherman’s Bend Urban Renewal Area (</w:t>
      </w:r>
      <w:r w:rsidR="00ED673F" w:rsidRPr="00ED673F">
        <w:t>FBURA</w:t>
      </w:r>
      <w:r w:rsidR="0002705F">
        <w:t>)</w:t>
      </w:r>
      <w:r w:rsidR="00ED673F" w:rsidRPr="00ED673F">
        <w:t xml:space="preserve"> has not been included due to the uncertainty around the quantum and timing of capital investments and consequential operational and  infrastructure servicing expenditure (whole of life costing).  Officers </w:t>
      </w:r>
      <w:r w:rsidR="00ED673F" w:rsidRPr="00ED673F">
        <w:lastRenderedPageBreak/>
        <w:t>are working collaboratively with the FBURA taskforce towards a robust Funding and Financing Strategy to achieve the Vision of FBURA and operate within financially sustainable targets.</w:t>
      </w:r>
    </w:p>
    <w:p w14:paraId="02243D2C" w14:textId="24697CAD" w:rsidR="00ED673F" w:rsidRPr="00ED673F" w:rsidRDefault="00ED673F" w:rsidP="00ED673F">
      <w:pPr>
        <w:jc w:val="both"/>
      </w:pPr>
      <w:r w:rsidRPr="00ED673F">
        <w:t>Rates capping continue</w:t>
      </w:r>
      <w:r w:rsidR="0002705F">
        <w:t>s</w:t>
      </w:r>
      <w:r w:rsidRPr="00ED673F">
        <w:t xml:space="preserve"> to be a major challenge to Council (and the whole sector) which will require fundamental changes to the way Council operates. Council’s approach to meeting this challenge is outlined below.</w:t>
      </w:r>
    </w:p>
    <w:p w14:paraId="434B7E33" w14:textId="77777777" w:rsidR="00ED673F" w:rsidRPr="00ED673F" w:rsidRDefault="00ED673F" w:rsidP="00ED673F">
      <w:pPr>
        <w:rPr>
          <w:b/>
          <w:szCs w:val="20"/>
        </w:rPr>
      </w:pPr>
      <w:r w:rsidRPr="00ED673F">
        <w:rPr>
          <w:b/>
          <w:szCs w:val="20"/>
        </w:rPr>
        <w:t>Rates capping challenge</w:t>
      </w:r>
    </w:p>
    <w:tbl>
      <w:tblPr>
        <w:tblW w:w="9356" w:type="dxa"/>
        <w:tblLayout w:type="fixed"/>
        <w:tblLook w:val="0000" w:firstRow="0" w:lastRow="0" w:firstColumn="0" w:lastColumn="0" w:noHBand="0" w:noVBand="0"/>
      </w:tblPr>
      <w:tblGrid>
        <w:gridCol w:w="3026"/>
        <w:gridCol w:w="1276"/>
        <w:gridCol w:w="1275"/>
        <w:gridCol w:w="1276"/>
        <w:gridCol w:w="1276"/>
        <w:gridCol w:w="1227"/>
      </w:tblGrid>
      <w:tr w:rsidR="00ED673F" w:rsidRPr="00ED673F" w14:paraId="39A9315E" w14:textId="77777777" w:rsidTr="00ED673F">
        <w:trPr>
          <w:trHeight w:val="291"/>
        </w:trPr>
        <w:tc>
          <w:tcPr>
            <w:tcW w:w="3026" w:type="dxa"/>
            <w:tcBorders>
              <w:top w:val="single" w:sz="4" w:space="0" w:color="auto"/>
              <w:left w:val="nil"/>
              <w:bottom w:val="single" w:sz="4" w:space="0" w:color="auto"/>
              <w:right w:val="nil"/>
            </w:tcBorders>
            <w:shd w:val="clear" w:color="auto" w:fill="008080"/>
            <w:vAlign w:val="bottom"/>
          </w:tcPr>
          <w:p w14:paraId="423553BB" w14:textId="77777777" w:rsidR="00ED673F" w:rsidRPr="00ED673F" w:rsidRDefault="00ED673F" w:rsidP="00ED673F">
            <w:pPr>
              <w:rPr>
                <w:b/>
                <w:bCs/>
                <w:color w:val="FFFFFF"/>
                <w:szCs w:val="20"/>
              </w:rPr>
            </w:pPr>
          </w:p>
        </w:tc>
        <w:tc>
          <w:tcPr>
            <w:tcW w:w="1276" w:type="dxa"/>
            <w:tcBorders>
              <w:top w:val="single" w:sz="4" w:space="0" w:color="auto"/>
              <w:left w:val="nil"/>
              <w:bottom w:val="single" w:sz="4" w:space="0" w:color="auto"/>
              <w:right w:val="nil"/>
            </w:tcBorders>
            <w:shd w:val="clear" w:color="auto" w:fill="008080"/>
            <w:vAlign w:val="bottom"/>
          </w:tcPr>
          <w:p w14:paraId="12D9F851" w14:textId="77777777" w:rsidR="00ED673F" w:rsidRPr="00ED673F" w:rsidRDefault="00ED673F" w:rsidP="00ED673F">
            <w:pPr>
              <w:spacing w:before="120" w:line="120" w:lineRule="auto"/>
              <w:jc w:val="center"/>
              <w:rPr>
                <w:b/>
                <w:bCs/>
                <w:color w:val="FFFFFF"/>
                <w:szCs w:val="20"/>
              </w:rPr>
            </w:pPr>
            <w:r w:rsidRPr="00ED673F">
              <w:rPr>
                <w:b/>
                <w:bCs/>
                <w:color w:val="FFFFFF"/>
                <w:szCs w:val="20"/>
              </w:rPr>
              <w:t>2018/19</w:t>
            </w:r>
          </w:p>
        </w:tc>
        <w:tc>
          <w:tcPr>
            <w:tcW w:w="1275" w:type="dxa"/>
            <w:tcBorders>
              <w:top w:val="single" w:sz="4" w:space="0" w:color="auto"/>
              <w:left w:val="nil"/>
              <w:bottom w:val="single" w:sz="4" w:space="0" w:color="auto"/>
              <w:right w:val="nil"/>
            </w:tcBorders>
            <w:shd w:val="clear" w:color="auto" w:fill="008080"/>
            <w:vAlign w:val="bottom"/>
          </w:tcPr>
          <w:p w14:paraId="4F17E490" w14:textId="77777777" w:rsidR="00ED673F" w:rsidRPr="00ED673F" w:rsidRDefault="00ED673F" w:rsidP="00ED673F">
            <w:pPr>
              <w:spacing w:before="120" w:line="120" w:lineRule="auto"/>
              <w:jc w:val="center"/>
              <w:rPr>
                <w:b/>
                <w:bCs/>
                <w:color w:val="FFFFFF"/>
                <w:szCs w:val="20"/>
              </w:rPr>
            </w:pPr>
            <w:r w:rsidRPr="00ED673F">
              <w:rPr>
                <w:b/>
                <w:bCs/>
                <w:color w:val="FFFFFF"/>
                <w:szCs w:val="20"/>
              </w:rPr>
              <w:t>2019/20</w:t>
            </w:r>
          </w:p>
        </w:tc>
        <w:tc>
          <w:tcPr>
            <w:tcW w:w="1276" w:type="dxa"/>
            <w:tcBorders>
              <w:top w:val="single" w:sz="4" w:space="0" w:color="auto"/>
              <w:left w:val="nil"/>
              <w:bottom w:val="single" w:sz="4" w:space="0" w:color="auto"/>
            </w:tcBorders>
            <w:shd w:val="clear" w:color="auto" w:fill="008080"/>
            <w:vAlign w:val="bottom"/>
          </w:tcPr>
          <w:p w14:paraId="62A8376F" w14:textId="77777777" w:rsidR="00ED673F" w:rsidRPr="00ED673F" w:rsidRDefault="00ED673F" w:rsidP="00ED673F">
            <w:pPr>
              <w:spacing w:before="120" w:line="120" w:lineRule="auto"/>
              <w:jc w:val="center"/>
              <w:rPr>
                <w:b/>
                <w:bCs/>
                <w:color w:val="FFFFFF"/>
                <w:szCs w:val="20"/>
              </w:rPr>
            </w:pPr>
            <w:r w:rsidRPr="00ED673F">
              <w:rPr>
                <w:b/>
                <w:bCs/>
                <w:color w:val="FFFFFF"/>
                <w:szCs w:val="20"/>
              </w:rPr>
              <w:t>2020/21</w:t>
            </w:r>
          </w:p>
        </w:tc>
        <w:tc>
          <w:tcPr>
            <w:tcW w:w="1276" w:type="dxa"/>
            <w:tcBorders>
              <w:top w:val="single" w:sz="4" w:space="0" w:color="auto"/>
              <w:left w:val="nil"/>
              <w:bottom w:val="single" w:sz="4" w:space="0" w:color="auto"/>
              <w:right w:val="single" w:sz="4" w:space="0" w:color="auto"/>
            </w:tcBorders>
            <w:shd w:val="clear" w:color="auto" w:fill="008080"/>
            <w:vAlign w:val="bottom"/>
          </w:tcPr>
          <w:p w14:paraId="6A639655" w14:textId="77777777" w:rsidR="00ED673F" w:rsidRPr="00ED673F" w:rsidRDefault="00ED673F" w:rsidP="00ED673F">
            <w:pPr>
              <w:spacing w:before="120" w:line="120" w:lineRule="auto"/>
              <w:jc w:val="center"/>
              <w:rPr>
                <w:b/>
                <w:bCs/>
                <w:color w:val="FFFFFF"/>
                <w:szCs w:val="20"/>
              </w:rPr>
            </w:pPr>
            <w:r w:rsidRPr="00ED673F">
              <w:rPr>
                <w:b/>
                <w:bCs/>
                <w:color w:val="FFFFFF"/>
                <w:szCs w:val="20"/>
              </w:rPr>
              <w:t>2021/22</w:t>
            </w:r>
          </w:p>
        </w:tc>
        <w:tc>
          <w:tcPr>
            <w:tcW w:w="1227" w:type="dxa"/>
            <w:tcBorders>
              <w:top w:val="single" w:sz="4" w:space="0" w:color="auto"/>
              <w:left w:val="single" w:sz="4" w:space="0" w:color="auto"/>
              <w:bottom w:val="single" w:sz="4" w:space="0" w:color="auto"/>
              <w:right w:val="nil"/>
            </w:tcBorders>
            <w:shd w:val="clear" w:color="auto" w:fill="008080"/>
            <w:vAlign w:val="center"/>
          </w:tcPr>
          <w:p w14:paraId="098B2222" w14:textId="77777777" w:rsidR="00ED673F" w:rsidRPr="00ED673F" w:rsidRDefault="00ED673F" w:rsidP="00ED673F">
            <w:pPr>
              <w:spacing w:before="120" w:line="120" w:lineRule="auto"/>
              <w:jc w:val="center"/>
              <w:rPr>
                <w:b/>
                <w:bCs/>
                <w:color w:val="FFFFFF"/>
                <w:szCs w:val="20"/>
              </w:rPr>
            </w:pPr>
            <w:r w:rsidRPr="00ED673F">
              <w:rPr>
                <w:b/>
                <w:bCs/>
                <w:color w:val="FFFFFF"/>
                <w:szCs w:val="20"/>
              </w:rPr>
              <w:t>2027/28</w:t>
            </w:r>
          </w:p>
        </w:tc>
      </w:tr>
      <w:tr w:rsidR="00ED673F" w:rsidRPr="00ED673F" w14:paraId="3018777E" w14:textId="77777777" w:rsidTr="00ED673F">
        <w:trPr>
          <w:trHeight w:val="498"/>
        </w:trPr>
        <w:tc>
          <w:tcPr>
            <w:tcW w:w="9356" w:type="dxa"/>
            <w:gridSpan w:val="6"/>
            <w:tcBorders>
              <w:top w:val="single" w:sz="4" w:space="0" w:color="auto"/>
              <w:left w:val="nil"/>
              <w:bottom w:val="single" w:sz="4" w:space="0" w:color="000000"/>
              <w:right w:val="nil"/>
            </w:tcBorders>
            <w:vAlign w:val="bottom"/>
          </w:tcPr>
          <w:p w14:paraId="2AD7B3C6" w14:textId="77777777" w:rsidR="00ED673F" w:rsidRPr="00ED673F" w:rsidRDefault="00ED673F" w:rsidP="00ED673F">
            <w:pPr>
              <w:spacing w:after="0"/>
              <w:rPr>
                <w:b/>
                <w:szCs w:val="20"/>
              </w:rPr>
            </w:pPr>
            <w:r w:rsidRPr="00ED673F">
              <w:rPr>
                <w:b/>
                <w:szCs w:val="20"/>
              </w:rPr>
              <w:t>Rates cap consistent with the ESC’s methodology (base case)</w:t>
            </w:r>
          </w:p>
        </w:tc>
      </w:tr>
      <w:tr w:rsidR="00ED673F" w:rsidRPr="00ED673F" w14:paraId="0980AE69" w14:textId="77777777" w:rsidTr="00ED673F">
        <w:trPr>
          <w:trHeight w:val="407"/>
        </w:trPr>
        <w:tc>
          <w:tcPr>
            <w:tcW w:w="3026" w:type="dxa"/>
            <w:tcBorders>
              <w:top w:val="single" w:sz="4" w:space="0" w:color="auto"/>
              <w:left w:val="nil"/>
              <w:bottom w:val="single" w:sz="4" w:space="0" w:color="000000"/>
              <w:right w:val="dashSmallGap" w:sz="4" w:space="0" w:color="auto"/>
            </w:tcBorders>
            <w:shd w:val="clear" w:color="auto" w:fill="auto"/>
            <w:vAlign w:val="center"/>
          </w:tcPr>
          <w:p w14:paraId="35ACD7F8" w14:textId="77777777" w:rsidR="00ED673F" w:rsidRPr="00ED673F" w:rsidRDefault="00ED673F" w:rsidP="00ED673F">
            <w:pPr>
              <w:spacing w:after="0"/>
              <w:rPr>
                <w:szCs w:val="20"/>
              </w:rPr>
            </w:pPr>
            <w:r w:rsidRPr="00ED673F">
              <w:rPr>
                <w:szCs w:val="20"/>
              </w:rPr>
              <w:t xml:space="preserve">Rate increase </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42E60B9A" w14:textId="77777777" w:rsidR="00ED673F" w:rsidRPr="00ED673F" w:rsidRDefault="00ED673F" w:rsidP="00ED673F">
            <w:pPr>
              <w:spacing w:after="0"/>
              <w:jc w:val="center"/>
              <w:rPr>
                <w:szCs w:val="20"/>
              </w:rPr>
            </w:pPr>
            <w:r w:rsidRPr="00ED673F">
              <w:rPr>
                <w:szCs w:val="20"/>
              </w:rPr>
              <w:t>2.43%</w:t>
            </w:r>
          </w:p>
        </w:tc>
        <w:tc>
          <w:tcPr>
            <w:tcW w:w="1275" w:type="dxa"/>
            <w:tcBorders>
              <w:top w:val="single" w:sz="4" w:space="0" w:color="auto"/>
              <w:left w:val="dashSmallGap" w:sz="4" w:space="0" w:color="auto"/>
              <w:bottom w:val="single" w:sz="4" w:space="0" w:color="auto"/>
              <w:right w:val="dashSmallGap" w:sz="4" w:space="0" w:color="auto"/>
            </w:tcBorders>
            <w:vAlign w:val="center"/>
          </w:tcPr>
          <w:p w14:paraId="0E57E9DE" w14:textId="77777777" w:rsidR="00ED673F" w:rsidRPr="00ED673F" w:rsidRDefault="00ED673F" w:rsidP="00ED673F">
            <w:pPr>
              <w:spacing w:after="0"/>
              <w:jc w:val="center"/>
              <w:rPr>
                <w:szCs w:val="20"/>
              </w:rPr>
            </w:pPr>
            <w:r w:rsidRPr="00ED673F">
              <w:rPr>
                <w:szCs w:val="20"/>
              </w:rPr>
              <w:t>2.37%</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5DB391BC" w14:textId="77777777" w:rsidR="00ED673F" w:rsidRPr="00ED673F" w:rsidRDefault="00ED673F" w:rsidP="00ED673F">
            <w:pPr>
              <w:spacing w:after="0"/>
              <w:jc w:val="center"/>
              <w:rPr>
                <w:szCs w:val="20"/>
              </w:rPr>
            </w:pPr>
            <w:r w:rsidRPr="00ED673F">
              <w:rPr>
                <w:szCs w:val="20"/>
              </w:rPr>
              <w:t>2.57%</w:t>
            </w:r>
          </w:p>
        </w:tc>
        <w:tc>
          <w:tcPr>
            <w:tcW w:w="1276" w:type="dxa"/>
            <w:tcBorders>
              <w:top w:val="single" w:sz="4" w:space="0" w:color="auto"/>
              <w:left w:val="dashSmallGap" w:sz="4" w:space="0" w:color="auto"/>
              <w:bottom w:val="single" w:sz="4" w:space="0" w:color="auto"/>
              <w:right w:val="single" w:sz="4" w:space="0" w:color="auto"/>
            </w:tcBorders>
            <w:vAlign w:val="center"/>
          </w:tcPr>
          <w:p w14:paraId="4CEAB9F4" w14:textId="77777777" w:rsidR="00ED673F" w:rsidRPr="00ED673F" w:rsidRDefault="00ED673F" w:rsidP="00ED673F">
            <w:pPr>
              <w:spacing w:after="0"/>
              <w:jc w:val="center"/>
              <w:rPr>
                <w:szCs w:val="20"/>
              </w:rPr>
            </w:pPr>
            <w:r w:rsidRPr="00ED673F">
              <w:rPr>
                <w:szCs w:val="20"/>
              </w:rPr>
              <w:t>2.58%</w:t>
            </w:r>
          </w:p>
        </w:tc>
        <w:tc>
          <w:tcPr>
            <w:tcW w:w="1227" w:type="dxa"/>
            <w:tcBorders>
              <w:top w:val="single" w:sz="4" w:space="0" w:color="auto"/>
              <w:left w:val="single" w:sz="4" w:space="0" w:color="auto"/>
              <w:bottom w:val="single" w:sz="4" w:space="0" w:color="auto"/>
              <w:right w:val="nil"/>
            </w:tcBorders>
            <w:shd w:val="clear" w:color="auto" w:fill="auto"/>
            <w:vAlign w:val="center"/>
          </w:tcPr>
          <w:p w14:paraId="63ECAB9E" w14:textId="77777777" w:rsidR="00ED673F" w:rsidRPr="00ED673F" w:rsidRDefault="00ED673F" w:rsidP="00ED673F">
            <w:pPr>
              <w:spacing w:after="0"/>
              <w:jc w:val="center"/>
              <w:rPr>
                <w:szCs w:val="20"/>
              </w:rPr>
            </w:pPr>
            <w:r w:rsidRPr="00ED673F">
              <w:rPr>
                <w:szCs w:val="20"/>
              </w:rPr>
              <w:t>2.28%</w:t>
            </w:r>
          </w:p>
        </w:tc>
      </w:tr>
      <w:tr w:rsidR="00ED673F" w:rsidRPr="00ED673F" w14:paraId="3143944F" w14:textId="77777777" w:rsidTr="00ED673F">
        <w:trPr>
          <w:trHeight w:val="626"/>
        </w:trPr>
        <w:tc>
          <w:tcPr>
            <w:tcW w:w="3026" w:type="dxa"/>
            <w:tcBorders>
              <w:top w:val="single" w:sz="4" w:space="0" w:color="auto"/>
              <w:left w:val="nil"/>
              <w:bottom w:val="single" w:sz="4" w:space="0" w:color="auto"/>
              <w:right w:val="dashSmallGap" w:sz="4" w:space="0" w:color="auto"/>
            </w:tcBorders>
            <w:shd w:val="clear" w:color="auto" w:fill="D9D9D9"/>
            <w:vAlign w:val="center"/>
          </w:tcPr>
          <w:p w14:paraId="28AF95BD" w14:textId="77777777" w:rsidR="00ED673F" w:rsidRPr="00ED673F" w:rsidRDefault="00ED673F" w:rsidP="00ED673F">
            <w:pPr>
              <w:spacing w:after="0"/>
              <w:rPr>
                <w:szCs w:val="20"/>
              </w:rPr>
            </w:pPr>
            <w:r w:rsidRPr="00ED673F">
              <w:rPr>
                <w:szCs w:val="20"/>
              </w:rPr>
              <w:t>Accumulated rates capping challenge</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731031D9" w14:textId="77777777" w:rsidR="00ED673F" w:rsidRPr="00ED673F" w:rsidRDefault="00ED673F" w:rsidP="00ED673F">
            <w:pPr>
              <w:jc w:val="center"/>
              <w:rPr>
                <w:szCs w:val="20"/>
              </w:rPr>
            </w:pPr>
            <w:r w:rsidRPr="00ED673F">
              <w:rPr>
                <w:szCs w:val="20"/>
              </w:rPr>
              <w:t>$2.3m</w:t>
            </w:r>
          </w:p>
        </w:tc>
        <w:tc>
          <w:tcPr>
            <w:tcW w:w="1275"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4F5548E4" w14:textId="77777777" w:rsidR="00ED673F" w:rsidRPr="00ED673F" w:rsidRDefault="00ED673F" w:rsidP="00ED673F">
            <w:pPr>
              <w:jc w:val="center"/>
              <w:rPr>
                <w:szCs w:val="20"/>
              </w:rPr>
            </w:pPr>
            <w:r w:rsidRPr="00ED673F">
              <w:rPr>
                <w:szCs w:val="20"/>
              </w:rPr>
              <w:t>$7.3m</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15DA44CC" w14:textId="77777777" w:rsidR="00ED673F" w:rsidRPr="00ED673F" w:rsidRDefault="00ED673F" w:rsidP="00ED673F">
            <w:pPr>
              <w:jc w:val="center"/>
              <w:rPr>
                <w:szCs w:val="20"/>
              </w:rPr>
            </w:pPr>
            <w:r w:rsidRPr="00ED673F">
              <w:rPr>
                <w:szCs w:val="20"/>
              </w:rPr>
              <w:t>$14.7m</w:t>
            </w:r>
          </w:p>
        </w:tc>
        <w:tc>
          <w:tcPr>
            <w:tcW w:w="1276" w:type="dxa"/>
            <w:tcBorders>
              <w:top w:val="single" w:sz="4" w:space="0" w:color="auto"/>
              <w:left w:val="dashSmallGap" w:sz="4" w:space="0" w:color="auto"/>
              <w:bottom w:val="single" w:sz="4" w:space="0" w:color="auto"/>
              <w:right w:val="single" w:sz="4" w:space="0" w:color="auto"/>
            </w:tcBorders>
            <w:shd w:val="clear" w:color="auto" w:fill="D9D9D9"/>
            <w:vAlign w:val="center"/>
          </w:tcPr>
          <w:p w14:paraId="718E0426" w14:textId="77777777" w:rsidR="00ED673F" w:rsidRPr="00ED673F" w:rsidRDefault="00ED673F" w:rsidP="00ED673F">
            <w:pPr>
              <w:jc w:val="center"/>
              <w:rPr>
                <w:szCs w:val="20"/>
              </w:rPr>
            </w:pPr>
            <w:r w:rsidRPr="00ED673F">
              <w:rPr>
                <w:szCs w:val="20"/>
              </w:rPr>
              <w:t>$18.2m</w:t>
            </w:r>
          </w:p>
        </w:tc>
        <w:tc>
          <w:tcPr>
            <w:tcW w:w="1227" w:type="dxa"/>
            <w:tcBorders>
              <w:top w:val="single" w:sz="4" w:space="0" w:color="auto"/>
              <w:left w:val="single" w:sz="4" w:space="0" w:color="auto"/>
              <w:bottom w:val="single" w:sz="4" w:space="0" w:color="auto"/>
              <w:right w:val="nil"/>
            </w:tcBorders>
            <w:shd w:val="clear" w:color="auto" w:fill="D9D9D9"/>
            <w:vAlign w:val="center"/>
          </w:tcPr>
          <w:p w14:paraId="70420EED" w14:textId="379CE1DB" w:rsidR="00ED673F" w:rsidRPr="00ED673F" w:rsidRDefault="00EB4885" w:rsidP="00ED673F">
            <w:pPr>
              <w:jc w:val="center"/>
              <w:rPr>
                <w:szCs w:val="20"/>
              </w:rPr>
            </w:pPr>
            <w:r>
              <w:rPr>
                <w:szCs w:val="20"/>
              </w:rPr>
              <w:t>$18.9</w:t>
            </w:r>
            <w:r w:rsidR="00ED673F" w:rsidRPr="00ED673F">
              <w:rPr>
                <w:szCs w:val="20"/>
              </w:rPr>
              <w:t>m</w:t>
            </w:r>
          </w:p>
        </w:tc>
      </w:tr>
      <w:tr w:rsidR="00ED673F" w:rsidRPr="00ED673F" w14:paraId="174854F4" w14:textId="77777777" w:rsidTr="00ED673F">
        <w:trPr>
          <w:trHeight w:val="539"/>
        </w:trPr>
        <w:tc>
          <w:tcPr>
            <w:tcW w:w="9356" w:type="dxa"/>
            <w:gridSpan w:val="6"/>
            <w:tcBorders>
              <w:top w:val="single" w:sz="4" w:space="0" w:color="auto"/>
              <w:left w:val="nil"/>
              <w:bottom w:val="single" w:sz="4" w:space="0" w:color="000000"/>
              <w:right w:val="nil"/>
            </w:tcBorders>
            <w:vAlign w:val="bottom"/>
          </w:tcPr>
          <w:p w14:paraId="089D5812" w14:textId="77777777" w:rsidR="00ED673F" w:rsidRPr="00ED673F" w:rsidRDefault="00ED673F" w:rsidP="00ED673F">
            <w:pPr>
              <w:spacing w:after="0"/>
              <w:rPr>
                <w:b/>
                <w:szCs w:val="20"/>
              </w:rPr>
            </w:pPr>
            <w:r w:rsidRPr="00ED673F">
              <w:rPr>
                <w:b/>
                <w:szCs w:val="20"/>
              </w:rPr>
              <w:t>Rates cap links to CPI (Deloitte Access Economics)</w:t>
            </w:r>
          </w:p>
        </w:tc>
      </w:tr>
      <w:tr w:rsidR="00ED673F" w:rsidRPr="00ED673F" w14:paraId="200737D2" w14:textId="77777777" w:rsidTr="00ED673F">
        <w:trPr>
          <w:trHeight w:val="404"/>
        </w:trPr>
        <w:tc>
          <w:tcPr>
            <w:tcW w:w="3026" w:type="dxa"/>
            <w:tcBorders>
              <w:top w:val="single" w:sz="4" w:space="0" w:color="auto"/>
              <w:left w:val="nil"/>
              <w:bottom w:val="single" w:sz="4" w:space="0" w:color="000000"/>
              <w:right w:val="dashSmallGap" w:sz="4" w:space="0" w:color="auto"/>
            </w:tcBorders>
            <w:shd w:val="clear" w:color="auto" w:fill="auto"/>
            <w:vAlign w:val="center"/>
          </w:tcPr>
          <w:p w14:paraId="4CEFC0C6" w14:textId="77777777" w:rsidR="00ED673F" w:rsidRPr="00ED673F" w:rsidRDefault="00ED673F" w:rsidP="00ED673F">
            <w:pPr>
              <w:spacing w:after="0"/>
              <w:rPr>
                <w:szCs w:val="20"/>
              </w:rPr>
            </w:pPr>
            <w:r w:rsidRPr="00ED673F">
              <w:rPr>
                <w:szCs w:val="20"/>
              </w:rPr>
              <w:t xml:space="preserve">Rate increase </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24C3453F" w14:textId="77777777" w:rsidR="00ED673F" w:rsidRPr="00ED673F" w:rsidRDefault="00ED673F" w:rsidP="00ED673F">
            <w:pPr>
              <w:spacing w:after="0"/>
              <w:jc w:val="center"/>
              <w:rPr>
                <w:szCs w:val="20"/>
              </w:rPr>
            </w:pPr>
            <w:r w:rsidRPr="00ED673F">
              <w:rPr>
                <w:szCs w:val="20"/>
              </w:rPr>
              <w:t>2.08%</w:t>
            </w:r>
          </w:p>
        </w:tc>
        <w:tc>
          <w:tcPr>
            <w:tcW w:w="1275" w:type="dxa"/>
            <w:tcBorders>
              <w:top w:val="single" w:sz="4" w:space="0" w:color="auto"/>
              <w:left w:val="dashSmallGap" w:sz="4" w:space="0" w:color="auto"/>
              <w:bottom w:val="single" w:sz="4" w:space="0" w:color="auto"/>
              <w:right w:val="dashSmallGap" w:sz="4" w:space="0" w:color="auto"/>
            </w:tcBorders>
            <w:vAlign w:val="center"/>
          </w:tcPr>
          <w:p w14:paraId="72444924" w14:textId="77777777" w:rsidR="00ED673F" w:rsidRPr="00ED673F" w:rsidRDefault="00ED673F" w:rsidP="00ED673F">
            <w:pPr>
              <w:spacing w:after="0"/>
              <w:jc w:val="center"/>
              <w:rPr>
                <w:szCs w:val="20"/>
              </w:rPr>
            </w:pPr>
            <w:r w:rsidRPr="00ED673F">
              <w:rPr>
                <w:szCs w:val="20"/>
              </w:rPr>
              <w:t>2.14%</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40B6E051" w14:textId="77777777" w:rsidR="00ED673F" w:rsidRPr="00ED673F" w:rsidRDefault="00ED673F" w:rsidP="00ED673F">
            <w:pPr>
              <w:spacing w:after="0"/>
              <w:jc w:val="center"/>
              <w:rPr>
                <w:szCs w:val="20"/>
              </w:rPr>
            </w:pPr>
            <w:r w:rsidRPr="00ED673F">
              <w:rPr>
                <w:szCs w:val="20"/>
              </w:rPr>
              <w:t>2.41%</w:t>
            </w:r>
          </w:p>
        </w:tc>
        <w:tc>
          <w:tcPr>
            <w:tcW w:w="1276" w:type="dxa"/>
            <w:tcBorders>
              <w:top w:val="single" w:sz="4" w:space="0" w:color="auto"/>
              <w:left w:val="dashSmallGap" w:sz="4" w:space="0" w:color="auto"/>
              <w:bottom w:val="single" w:sz="4" w:space="0" w:color="auto"/>
              <w:right w:val="single" w:sz="4" w:space="0" w:color="auto"/>
            </w:tcBorders>
            <w:vAlign w:val="center"/>
          </w:tcPr>
          <w:p w14:paraId="42C84F2E" w14:textId="77777777" w:rsidR="00ED673F" w:rsidRPr="00ED673F" w:rsidRDefault="00ED673F" w:rsidP="00ED673F">
            <w:pPr>
              <w:spacing w:after="0"/>
              <w:jc w:val="center"/>
              <w:rPr>
                <w:szCs w:val="20"/>
              </w:rPr>
            </w:pPr>
            <w:r w:rsidRPr="00ED673F">
              <w:rPr>
                <w:szCs w:val="20"/>
              </w:rPr>
              <w:t>2.45%</w:t>
            </w:r>
          </w:p>
        </w:tc>
        <w:tc>
          <w:tcPr>
            <w:tcW w:w="1227" w:type="dxa"/>
            <w:tcBorders>
              <w:top w:val="single" w:sz="4" w:space="0" w:color="auto"/>
              <w:left w:val="single" w:sz="4" w:space="0" w:color="auto"/>
              <w:bottom w:val="single" w:sz="4" w:space="0" w:color="auto"/>
              <w:right w:val="nil"/>
            </w:tcBorders>
            <w:shd w:val="clear" w:color="auto" w:fill="auto"/>
            <w:vAlign w:val="center"/>
          </w:tcPr>
          <w:p w14:paraId="199263B1" w14:textId="77777777" w:rsidR="00ED673F" w:rsidRPr="00ED673F" w:rsidRDefault="00ED673F" w:rsidP="00ED673F">
            <w:pPr>
              <w:spacing w:after="0"/>
              <w:jc w:val="center"/>
              <w:rPr>
                <w:szCs w:val="20"/>
              </w:rPr>
            </w:pPr>
            <w:r w:rsidRPr="00ED673F">
              <w:rPr>
                <w:szCs w:val="20"/>
              </w:rPr>
              <w:t>2.45%</w:t>
            </w:r>
          </w:p>
        </w:tc>
      </w:tr>
      <w:tr w:rsidR="00ED673F" w:rsidRPr="00ED673F" w14:paraId="04D61581" w14:textId="77777777" w:rsidTr="00ED673F">
        <w:trPr>
          <w:trHeight w:val="666"/>
        </w:trPr>
        <w:tc>
          <w:tcPr>
            <w:tcW w:w="3026" w:type="dxa"/>
            <w:tcBorders>
              <w:top w:val="single" w:sz="4" w:space="0" w:color="auto"/>
              <w:left w:val="nil"/>
              <w:bottom w:val="single" w:sz="4" w:space="0" w:color="auto"/>
              <w:right w:val="dashSmallGap" w:sz="4" w:space="0" w:color="auto"/>
            </w:tcBorders>
            <w:shd w:val="clear" w:color="auto" w:fill="D9D9D9"/>
            <w:vAlign w:val="center"/>
          </w:tcPr>
          <w:p w14:paraId="4FF547CF" w14:textId="77777777" w:rsidR="00ED673F" w:rsidRPr="00ED673F" w:rsidRDefault="00ED673F" w:rsidP="00ED673F">
            <w:pPr>
              <w:spacing w:after="0"/>
              <w:rPr>
                <w:szCs w:val="20"/>
              </w:rPr>
            </w:pPr>
            <w:r w:rsidRPr="00ED673F">
              <w:rPr>
                <w:szCs w:val="20"/>
              </w:rPr>
              <w:t>Accumulated rates capping challenge</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0FD0A5D8" w14:textId="10E79C0D" w:rsidR="00ED673F" w:rsidRPr="00ED673F" w:rsidRDefault="00E07C5A" w:rsidP="00ED673F">
            <w:pPr>
              <w:jc w:val="center"/>
              <w:rPr>
                <w:szCs w:val="20"/>
              </w:rPr>
            </w:pPr>
            <w:r>
              <w:rPr>
                <w:szCs w:val="20"/>
              </w:rPr>
              <w:t>$2.4</w:t>
            </w:r>
            <w:r w:rsidR="00ED673F" w:rsidRPr="00ED673F">
              <w:rPr>
                <w:szCs w:val="20"/>
              </w:rPr>
              <w:t>m</w:t>
            </w:r>
          </w:p>
        </w:tc>
        <w:tc>
          <w:tcPr>
            <w:tcW w:w="1275"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52771A8C" w14:textId="44387E64" w:rsidR="00ED673F" w:rsidRPr="00ED673F" w:rsidRDefault="00E07C5A" w:rsidP="00ED673F">
            <w:pPr>
              <w:jc w:val="center"/>
              <w:rPr>
                <w:szCs w:val="20"/>
              </w:rPr>
            </w:pPr>
            <w:r>
              <w:rPr>
                <w:szCs w:val="20"/>
              </w:rPr>
              <w:t>$6.9</w:t>
            </w:r>
            <w:r w:rsidR="00ED673F" w:rsidRPr="00ED673F">
              <w:rPr>
                <w:szCs w:val="20"/>
              </w:rPr>
              <w:t>m</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3E4246D9" w14:textId="5A5E116F" w:rsidR="00ED673F" w:rsidRPr="00ED673F" w:rsidRDefault="00E07C5A" w:rsidP="00ED673F">
            <w:pPr>
              <w:jc w:val="center"/>
              <w:rPr>
                <w:szCs w:val="20"/>
              </w:rPr>
            </w:pPr>
            <w:r>
              <w:rPr>
                <w:szCs w:val="20"/>
              </w:rPr>
              <w:t>$13.7</w:t>
            </w:r>
            <w:r w:rsidR="00ED673F" w:rsidRPr="00ED673F">
              <w:rPr>
                <w:szCs w:val="20"/>
              </w:rPr>
              <w:t>m</w:t>
            </w:r>
          </w:p>
        </w:tc>
        <w:tc>
          <w:tcPr>
            <w:tcW w:w="1276" w:type="dxa"/>
            <w:tcBorders>
              <w:top w:val="single" w:sz="4" w:space="0" w:color="auto"/>
              <w:left w:val="dashSmallGap" w:sz="4" w:space="0" w:color="auto"/>
              <w:bottom w:val="single" w:sz="4" w:space="0" w:color="auto"/>
              <w:right w:val="single" w:sz="4" w:space="0" w:color="auto"/>
            </w:tcBorders>
            <w:shd w:val="clear" w:color="auto" w:fill="D9D9D9"/>
            <w:vAlign w:val="center"/>
          </w:tcPr>
          <w:p w14:paraId="0FA4D272" w14:textId="6C992AE8" w:rsidR="00ED673F" w:rsidRPr="00ED673F" w:rsidRDefault="00E07C5A" w:rsidP="00ED673F">
            <w:pPr>
              <w:jc w:val="center"/>
              <w:rPr>
                <w:szCs w:val="20"/>
              </w:rPr>
            </w:pPr>
            <w:r>
              <w:rPr>
                <w:szCs w:val="20"/>
              </w:rPr>
              <w:t>$16.5</w:t>
            </w:r>
            <w:r w:rsidR="00ED673F" w:rsidRPr="00ED673F">
              <w:rPr>
                <w:szCs w:val="20"/>
              </w:rPr>
              <w:t>m</w:t>
            </w:r>
          </w:p>
        </w:tc>
        <w:tc>
          <w:tcPr>
            <w:tcW w:w="1227" w:type="dxa"/>
            <w:tcBorders>
              <w:top w:val="single" w:sz="4" w:space="0" w:color="auto"/>
              <w:left w:val="single" w:sz="4" w:space="0" w:color="auto"/>
              <w:bottom w:val="single" w:sz="4" w:space="0" w:color="auto"/>
              <w:right w:val="nil"/>
            </w:tcBorders>
            <w:shd w:val="clear" w:color="auto" w:fill="D9D9D9"/>
            <w:vAlign w:val="center"/>
          </w:tcPr>
          <w:p w14:paraId="412A0A33" w14:textId="40121D97" w:rsidR="00ED673F" w:rsidRPr="00ED673F" w:rsidRDefault="00E07C5A" w:rsidP="00ED673F">
            <w:pPr>
              <w:jc w:val="center"/>
              <w:rPr>
                <w:szCs w:val="20"/>
              </w:rPr>
            </w:pPr>
            <w:r>
              <w:rPr>
                <w:szCs w:val="20"/>
              </w:rPr>
              <w:t>$12.4</w:t>
            </w:r>
            <w:r w:rsidR="00ED673F" w:rsidRPr="00ED673F">
              <w:rPr>
                <w:szCs w:val="20"/>
              </w:rPr>
              <w:t>m</w:t>
            </w:r>
          </w:p>
        </w:tc>
      </w:tr>
      <w:tr w:rsidR="00ED673F" w:rsidRPr="00ED673F" w14:paraId="3E196288" w14:textId="77777777" w:rsidTr="00ED673F">
        <w:trPr>
          <w:trHeight w:val="509"/>
        </w:trPr>
        <w:tc>
          <w:tcPr>
            <w:tcW w:w="9356" w:type="dxa"/>
            <w:gridSpan w:val="6"/>
            <w:tcBorders>
              <w:top w:val="single" w:sz="4" w:space="0" w:color="auto"/>
              <w:left w:val="nil"/>
              <w:bottom w:val="single" w:sz="4" w:space="0" w:color="auto"/>
              <w:right w:val="nil"/>
            </w:tcBorders>
            <w:vAlign w:val="bottom"/>
          </w:tcPr>
          <w:p w14:paraId="2403BA93" w14:textId="77777777" w:rsidR="00ED673F" w:rsidRPr="00ED673F" w:rsidRDefault="00ED673F" w:rsidP="00ED673F">
            <w:pPr>
              <w:spacing w:after="0"/>
              <w:rPr>
                <w:szCs w:val="20"/>
              </w:rPr>
            </w:pPr>
            <w:r w:rsidRPr="00ED673F">
              <w:rPr>
                <w:b/>
                <w:szCs w:val="20"/>
              </w:rPr>
              <w:t>Rates cap at 1.5% per annum</w:t>
            </w:r>
          </w:p>
        </w:tc>
      </w:tr>
      <w:tr w:rsidR="00ED673F" w:rsidRPr="00ED673F" w14:paraId="60BDA428" w14:textId="77777777" w:rsidTr="00ED673F">
        <w:trPr>
          <w:trHeight w:val="404"/>
        </w:trPr>
        <w:tc>
          <w:tcPr>
            <w:tcW w:w="3026" w:type="dxa"/>
            <w:tcBorders>
              <w:top w:val="single" w:sz="4" w:space="0" w:color="auto"/>
              <w:left w:val="nil"/>
              <w:bottom w:val="single" w:sz="4" w:space="0" w:color="000000"/>
              <w:right w:val="dashSmallGap" w:sz="4" w:space="0" w:color="auto"/>
            </w:tcBorders>
            <w:shd w:val="clear" w:color="auto" w:fill="auto"/>
            <w:vAlign w:val="center"/>
          </w:tcPr>
          <w:p w14:paraId="6EE5E008" w14:textId="77777777" w:rsidR="00ED673F" w:rsidRPr="00ED673F" w:rsidRDefault="00ED673F" w:rsidP="00ED673F">
            <w:pPr>
              <w:spacing w:after="0"/>
              <w:rPr>
                <w:szCs w:val="20"/>
              </w:rPr>
            </w:pPr>
            <w:r w:rsidRPr="00ED673F">
              <w:rPr>
                <w:szCs w:val="20"/>
              </w:rPr>
              <w:t xml:space="preserve">Rate increase </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03D090F1" w14:textId="77777777" w:rsidR="00ED673F" w:rsidRPr="00ED673F" w:rsidRDefault="00ED673F" w:rsidP="00ED673F">
            <w:pPr>
              <w:spacing w:after="0"/>
              <w:jc w:val="center"/>
              <w:rPr>
                <w:szCs w:val="20"/>
              </w:rPr>
            </w:pPr>
            <w:r w:rsidRPr="00ED673F">
              <w:rPr>
                <w:szCs w:val="20"/>
              </w:rPr>
              <w:t>1.50%</w:t>
            </w:r>
          </w:p>
        </w:tc>
        <w:tc>
          <w:tcPr>
            <w:tcW w:w="1275" w:type="dxa"/>
            <w:tcBorders>
              <w:top w:val="single" w:sz="4" w:space="0" w:color="auto"/>
              <w:left w:val="dashSmallGap" w:sz="4" w:space="0" w:color="auto"/>
              <w:bottom w:val="single" w:sz="4" w:space="0" w:color="auto"/>
              <w:right w:val="dashSmallGap" w:sz="4" w:space="0" w:color="auto"/>
            </w:tcBorders>
            <w:vAlign w:val="center"/>
          </w:tcPr>
          <w:p w14:paraId="73550EBE" w14:textId="77777777" w:rsidR="00ED673F" w:rsidRPr="00ED673F" w:rsidRDefault="00ED673F" w:rsidP="00ED673F">
            <w:pPr>
              <w:spacing w:after="0"/>
              <w:jc w:val="center"/>
              <w:rPr>
                <w:szCs w:val="20"/>
              </w:rPr>
            </w:pPr>
            <w:r w:rsidRPr="00ED673F">
              <w:rPr>
                <w:szCs w:val="20"/>
              </w:rPr>
              <w:t>1.50%</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21237AC6" w14:textId="77777777" w:rsidR="00ED673F" w:rsidRPr="00ED673F" w:rsidRDefault="00ED673F" w:rsidP="00ED673F">
            <w:pPr>
              <w:spacing w:after="0"/>
              <w:jc w:val="center"/>
              <w:rPr>
                <w:szCs w:val="20"/>
              </w:rPr>
            </w:pPr>
            <w:r w:rsidRPr="00ED673F">
              <w:rPr>
                <w:szCs w:val="20"/>
              </w:rPr>
              <w:t>1.50%</w:t>
            </w:r>
          </w:p>
        </w:tc>
        <w:tc>
          <w:tcPr>
            <w:tcW w:w="1276" w:type="dxa"/>
            <w:tcBorders>
              <w:top w:val="single" w:sz="4" w:space="0" w:color="auto"/>
              <w:left w:val="dashSmallGap" w:sz="4" w:space="0" w:color="auto"/>
              <w:bottom w:val="single" w:sz="4" w:space="0" w:color="auto"/>
              <w:right w:val="single" w:sz="4" w:space="0" w:color="auto"/>
            </w:tcBorders>
            <w:vAlign w:val="center"/>
          </w:tcPr>
          <w:p w14:paraId="6929B932" w14:textId="77777777" w:rsidR="00ED673F" w:rsidRPr="00ED673F" w:rsidRDefault="00ED673F" w:rsidP="00ED673F">
            <w:pPr>
              <w:spacing w:after="0"/>
              <w:jc w:val="center"/>
              <w:rPr>
                <w:szCs w:val="20"/>
              </w:rPr>
            </w:pPr>
            <w:r w:rsidRPr="00ED673F">
              <w:rPr>
                <w:szCs w:val="20"/>
              </w:rPr>
              <w:t>1.50%</w:t>
            </w:r>
          </w:p>
        </w:tc>
        <w:tc>
          <w:tcPr>
            <w:tcW w:w="1227" w:type="dxa"/>
            <w:tcBorders>
              <w:top w:val="single" w:sz="4" w:space="0" w:color="auto"/>
              <w:left w:val="single" w:sz="4" w:space="0" w:color="auto"/>
              <w:bottom w:val="single" w:sz="4" w:space="0" w:color="auto"/>
              <w:right w:val="nil"/>
            </w:tcBorders>
            <w:shd w:val="clear" w:color="auto" w:fill="auto"/>
            <w:vAlign w:val="center"/>
          </w:tcPr>
          <w:p w14:paraId="00B2A702" w14:textId="77777777" w:rsidR="00ED673F" w:rsidRPr="00ED673F" w:rsidRDefault="00ED673F" w:rsidP="00ED673F">
            <w:pPr>
              <w:spacing w:after="0"/>
              <w:jc w:val="center"/>
              <w:rPr>
                <w:szCs w:val="20"/>
              </w:rPr>
            </w:pPr>
            <w:r w:rsidRPr="00ED673F">
              <w:rPr>
                <w:szCs w:val="20"/>
              </w:rPr>
              <w:t>1.50%</w:t>
            </w:r>
          </w:p>
        </w:tc>
      </w:tr>
      <w:tr w:rsidR="00ED673F" w:rsidRPr="00ED673F" w14:paraId="74B0C295" w14:textId="77777777" w:rsidTr="00ED673F">
        <w:trPr>
          <w:trHeight w:val="650"/>
        </w:trPr>
        <w:tc>
          <w:tcPr>
            <w:tcW w:w="3026" w:type="dxa"/>
            <w:tcBorders>
              <w:top w:val="single" w:sz="4" w:space="0" w:color="auto"/>
              <w:left w:val="nil"/>
              <w:bottom w:val="single" w:sz="4" w:space="0" w:color="000000"/>
              <w:right w:val="dashSmallGap" w:sz="4" w:space="0" w:color="auto"/>
            </w:tcBorders>
            <w:shd w:val="clear" w:color="auto" w:fill="D9D9D9"/>
            <w:vAlign w:val="center"/>
          </w:tcPr>
          <w:p w14:paraId="664F87B8" w14:textId="77777777" w:rsidR="00ED673F" w:rsidRPr="00ED673F" w:rsidRDefault="00ED673F" w:rsidP="00ED673F">
            <w:pPr>
              <w:spacing w:after="0"/>
              <w:rPr>
                <w:szCs w:val="20"/>
              </w:rPr>
            </w:pPr>
            <w:r w:rsidRPr="00ED673F">
              <w:rPr>
                <w:szCs w:val="20"/>
              </w:rPr>
              <w:t>Accumulated rates capping challenge</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14168672" w14:textId="77777777" w:rsidR="00ED673F" w:rsidRPr="00ED673F" w:rsidRDefault="00ED673F" w:rsidP="00ED673F">
            <w:pPr>
              <w:jc w:val="center"/>
              <w:rPr>
                <w:szCs w:val="20"/>
              </w:rPr>
            </w:pPr>
            <w:r w:rsidRPr="00ED673F">
              <w:rPr>
                <w:szCs w:val="20"/>
              </w:rPr>
              <w:t>$1.7m</w:t>
            </w:r>
          </w:p>
        </w:tc>
        <w:tc>
          <w:tcPr>
            <w:tcW w:w="1275"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3F308CC5" w14:textId="2426621C" w:rsidR="00ED673F" w:rsidRPr="00ED673F" w:rsidRDefault="00E07C5A" w:rsidP="00ED673F">
            <w:pPr>
              <w:jc w:val="center"/>
              <w:rPr>
                <w:szCs w:val="20"/>
              </w:rPr>
            </w:pPr>
            <w:r>
              <w:rPr>
                <w:szCs w:val="20"/>
              </w:rPr>
              <w:t>$5.3</w:t>
            </w:r>
            <w:r w:rsidR="00ED673F" w:rsidRPr="00ED673F">
              <w:rPr>
                <w:szCs w:val="20"/>
              </w:rPr>
              <w:t>m</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449534BD" w14:textId="7FA695B3" w:rsidR="00ED673F" w:rsidRPr="00ED673F" w:rsidRDefault="00ED673F" w:rsidP="00E07C5A">
            <w:pPr>
              <w:jc w:val="center"/>
              <w:rPr>
                <w:szCs w:val="20"/>
              </w:rPr>
            </w:pPr>
            <w:r w:rsidRPr="00ED673F">
              <w:rPr>
                <w:szCs w:val="20"/>
              </w:rPr>
              <w:t>$</w:t>
            </w:r>
            <w:r w:rsidR="00E07C5A">
              <w:rPr>
                <w:szCs w:val="20"/>
              </w:rPr>
              <w:t>10.7</w:t>
            </w:r>
            <w:r w:rsidRPr="00ED673F">
              <w:rPr>
                <w:szCs w:val="20"/>
              </w:rPr>
              <w:t>m</w:t>
            </w:r>
          </w:p>
        </w:tc>
        <w:tc>
          <w:tcPr>
            <w:tcW w:w="1276" w:type="dxa"/>
            <w:tcBorders>
              <w:top w:val="single" w:sz="4" w:space="0" w:color="auto"/>
              <w:left w:val="dashSmallGap" w:sz="4" w:space="0" w:color="auto"/>
              <w:bottom w:val="single" w:sz="4" w:space="0" w:color="auto"/>
              <w:right w:val="single" w:sz="4" w:space="0" w:color="auto"/>
            </w:tcBorders>
            <w:shd w:val="clear" w:color="auto" w:fill="D9D9D9"/>
            <w:vAlign w:val="center"/>
          </w:tcPr>
          <w:p w14:paraId="2B1501F7" w14:textId="562F1ED9" w:rsidR="00ED673F" w:rsidRPr="00ED673F" w:rsidRDefault="00ED673F" w:rsidP="00E07C5A">
            <w:pPr>
              <w:jc w:val="center"/>
              <w:rPr>
                <w:szCs w:val="20"/>
              </w:rPr>
            </w:pPr>
            <w:r w:rsidRPr="00ED673F">
              <w:rPr>
                <w:szCs w:val="20"/>
              </w:rPr>
              <w:t>$</w:t>
            </w:r>
            <w:r w:rsidR="00E07C5A">
              <w:rPr>
                <w:szCs w:val="20"/>
              </w:rPr>
              <w:t>11.9</w:t>
            </w:r>
            <w:r w:rsidRPr="00ED673F">
              <w:rPr>
                <w:szCs w:val="20"/>
              </w:rPr>
              <w:t>m</w:t>
            </w:r>
          </w:p>
        </w:tc>
        <w:tc>
          <w:tcPr>
            <w:tcW w:w="1227" w:type="dxa"/>
            <w:tcBorders>
              <w:top w:val="single" w:sz="4" w:space="0" w:color="auto"/>
              <w:left w:val="single" w:sz="4" w:space="0" w:color="auto"/>
              <w:bottom w:val="single" w:sz="4" w:space="0" w:color="auto"/>
              <w:right w:val="nil"/>
            </w:tcBorders>
            <w:shd w:val="clear" w:color="auto" w:fill="D9D9D9"/>
            <w:vAlign w:val="center"/>
          </w:tcPr>
          <w:p w14:paraId="5FF92942" w14:textId="0A03F1A7" w:rsidR="00ED673F" w:rsidRPr="00ED673F" w:rsidRDefault="00E07C5A" w:rsidP="00ED673F">
            <w:pPr>
              <w:jc w:val="center"/>
              <w:rPr>
                <w:szCs w:val="20"/>
              </w:rPr>
            </w:pPr>
            <w:r>
              <w:rPr>
                <w:szCs w:val="20"/>
              </w:rPr>
              <w:t>($12.1</w:t>
            </w:r>
            <w:r w:rsidR="00ED673F" w:rsidRPr="00ED673F">
              <w:rPr>
                <w:szCs w:val="20"/>
              </w:rPr>
              <w:t>m)</w:t>
            </w:r>
          </w:p>
        </w:tc>
      </w:tr>
    </w:tbl>
    <w:p w14:paraId="104711C4" w14:textId="77777777" w:rsidR="00ED673F" w:rsidRPr="00ED673F" w:rsidRDefault="00ED673F" w:rsidP="00461C0A">
      <w:pPr>
        <w:spacing w:before="120"/>
      </w:pPr>
      <w:r w:rsidRPr="00ED673F">
        <w:t xml:space="preserve">Other aspects of the Outlook, such as expenditure and other revenue are currently based on Council’s business as usual planning (refer to section 6 Financial Statement for more details).  </w:t>
      </w:r>
    </w:p>
    <w:p w14:paraId="11814766" w14:textId="77777777" w:rsidR="00ED673F" w:rsidRPr="00ED673F" w:rsidRDefault="00ED673F" w:rsidP="00ED673F">
      <w:pPr>
        <w:rPr>
          <w:b/>
          <w:szCs w:val="20"/>
        </w:rPr>
      </w:pPr>
      <w:r w:rsidRPr="00ED673F">
        <w:rPr>
          <w:b/>
          <w:szCs w:val="20"/>
        </w:rPr>
        <w:t>Addressing the rates capping challenge</w:t>
      </w:r>
    </w:p>
    <w:p w14:paraId="279CDA90" w14:textId="77777777" w:rsidR="00ED673F" w:rsidRPr="00ED673F" w:rsidRDefault="00ED673F" w:rsidP="00ED673F">
      <w:r w:rsidRPr="00ED673F">
        <w:t xml:space="preserve">Over the next 10 years, we will face many challenges that require strong financial leadership and creative solutions to overcome them.  Key among these challenges will be rates capping.  Embedded in our Financial Plan 2017-27 which identifies a cumulative $35 million funding gap due to rate capping is our financial strategy. </w:t>
      </w:r>
    </w:p>
    <w:p w14:paraId="47799D3B" w14:textId="7DE0D1B6" w:rsidR="00ED673F" w:rsidRPr="00ED673F" w:rsidRDefault="00ED673F" w:rsidP="00ED673F">
      <w:r w:rsidRPr="00ED673F">
        <w:t xml:space="preserve">Our financial strategy </w:t>
      </w:r>
      <w:r w:rsidR="0002705F">
        <w:t xml:space="preserve">is </w:t>
      </w:r>
      <w:r w:rsidRPr="00ED673F">
        <w:t xml:space="preserve">to closely monitor the affordability of services, and recognise ongoing community concerns about the financial impost of rates and the cost of other essential services.  As such, we are not planning to apply for a rate increase above the rates cap over the life of the Outlook.  </w:t>
      </w:r>
    </w:p>
    <w:p w14:paraId="1F91AEE3" w14:textId="77777777" w:rsidR="00ED673F" w:rsidRPr="00ED673F" w:rsidRDefault="00ED673F" w:rsidP="00ED673F">
      <w:r w:rsidRPr="00ED673F">
        <w:t xml:space="preserve">We plan to balance the budget and close the rates cap gap by adjusting the following strategic levers: </w:t>
      </w:r>
    </w:p>
    <w:p w14:paraId="32EEF4C3" w14:textId="77777777" w:rsidR="00ED673F" w:rsidRPr="00ED673F" w:rsidRDefault="00ED673F" w:rsidP="00912294">
      <w:pPr>
        <w:pStyle w:val="ListParagraph"/>
        <w:numPr>
          <w:ilvl w:val="0"/>
          <w:numId w:val="11"/>
        </w:numPr>
        <w:tabs>
          <w:tab w:val="clear" w:pos="-3060"/>
          <w:tab w:val="clear" w:pos="-2340"/>
          <w:tab w:val="clear" w:pos="6300"/>
        </w:tabs>
        <w:suppressAutoHyphens w:val="0"/>
        <w:spacing w:after="0"/>
        <w:rPr>
          <w:b/>
        </w:rPr>
      </w:pPr>
      <w:r w:rsidRPr="00ED673F">
        <w:rPr>
          <w:b/>
        </w:rPr>
        <w:t>Delivering efficiency and cost savings</w:t>
      </w:r>
    </w:p>
    <w:p w14:paraId="14309C75" w14:textId="77777777" w:rsidR="00ED673F" w:rsidRPr="00ED673F" w:rsidRDefault="00ED673F" w:rsidP="00ED673F">
      <w:pPr>
        <w:ind w:left="360"/>
      </w:pPr>
      <w:r w:rsidRPr="00ED673F">
        <w:t>The community’s expectations for better value service delivery are of primary concern to Council. Council’s recent history of productivity (doing more with the same resources) and efficiency (doing more or same with less resources) has achieved $9 million of budget savings in the last four financial years.  This includes $2 million of budget savings in 2017/18.</w:t>
      </w:r>
    </w:p>
    <w:p w14:paraId="27EEF026" w14:textId="77777777" w:rsidR="00ED673F" w:rsidRPr="00ED673F" w:rsidRDefault="00ED673F" w:rsidP="00ED673F">
      <w:pPr>
        <w:ind w:left="360"/>
      </w:pPr>
      <w:r w:rsidRPr="00ED673F">
        <w:t>Embedded in the Outlook are efficiency saving targets between $1.6 million to $2.0 million, 1% to 1.5% of operating expenditure (less depreciation) over the 2018-2027 period. This is expected to reduce our cost base by a cumulative $22.5 million.  A $1.6 million target has been set for the Budget 2018/19.</w:t>
      </w:r>
    </w:p>
    <w:p w14:paraId="147FABC3" w14:textId="75529057" w:rsidR="00ED673F" w:rsidRPr="00ED673F" w:rsidRDefault="00ED673F" w:rsidP="00ED673F">
      <w:pPr>
        <w:ind w:left="360"/>
      </w:pPr>
      <w:r w:rsidRPr="00ED673F">
        <w:t>Key initiatives to deliver these savings include a service review program to better define service requirements and target support, a commitment to better practice procurement and asset management, the sale of surplus properties, and investment in business process and system improvement.</w:t>
      </w:r>
      <w:r>
        <w:br/>
      </w:r>
      <w:r>
        <w:lastRenderedPageBreak/>
        <w:br/>
      </w:r>
    </w:p>
    <w:p w14:paraId="00ED1609" w14:textId="77777777" w:rsidR="00ED673F" w:rsidRPr="00ED673F" w:rsidRDefault="00ED673F" w:rsidP="00912294">
      <w:pPr>
        <w:pStyle w:val="ListParagraph"/>
        <w:numPr>
          <w:ilvl w:val="0"/>
          <w:numId w:val="11"/>
        </w:numPr>
        <w:tabs>
          <w:tab w:val="clear" w:pos="-3060"/>
          <w:tab w:val="clear" w:pos="-2340"/>
          <w:tab w:val="clear" w:pos="6300"/>
        </w:tabs>
        <w:suppressAutoHyphens w:val="0"/>
        <w:spacing w:after="0"/>
        <w:rPr>
          <w:b/>
        </w:rPr>
      </w:pPr>
      <w:r w:rsidRPr="00ED673F">
        <w:rPr>
          <w:b/>
        </w:rPr>
        <w:t>Setting fair and appropriate user charges</w:t>
      </w:r>
    </w:p>
    <w:p w14:paraId="2273019B" w14:textId="77777777" w:rsidR="00ED673F" w:rsidRPr="00ED673F" w:rsidRDefault="00ED673F" w:rsidP="00ED673F">
      <w:pPr>
        <w:ind w:left="360"/>
      </w:pPr>
      <w:r w:rsidRPr="00ED673F">
        <w:t>The annual budget process includes a thorough review of user charges to ensure they remain affordable, fair, and appropriate. We believe that those who directly benefit from and/or cause expenditure should make an appropriate contribution to the service balanced by the capacity of people to pay.</w:t>
      </w:r>
    </w:p>
    <w:p w14:paraId="311162D7" w14:textId="77777777" w:rsidR="00ED673F" w:rsidRPr="00ED673F" w:rsidRDefault="00ED673F" w:rsidP="00ED673F">
      <w:pPr>
        <w:ind w:left="360"/>
      </w:pPr>
      <w:r w:rsidRPr="00ED673F">
        <w:t>The Outlook links user fee increases to CPI plus 0.25% over 2018-2027 period. The application and impact of this policy setting will be viewed annually to ensure affordability and fairness.</w:t>
      </w:r>
    </w:p>
    <w:p w14:paraId="030994AF" w14:textId="77777777" w:rsidR="00ED673F" w:rsidRPr="00ED673F" w:rsidRDefault="00ED673F" w:rsidP="00912294">
      <w:pPr>
        <w:pStyle w:val="ListParagraph"/>
        <w:numPr>
          <w:ilvl w:val="0"/>
          <w:numId w:val="11"/>
        </w:numPr>
        <w:tabs>
          <w:tab w:val="clear" w:pos="-3060"/>
          <w:tab w:val="clear" w:pos="-2340"/>
          <w:tab w:val="clear" w:pos="6300"/>
        </w:tabs>
        <w:suppressAutoHyphens w:val="0"/>
        <w:spacing w:after="0"/>
      </w:pPr>
      <w:r w:rsidRPr="00ED673F">
        <w:rPr>
          <w:b/>
        </w:rPr>
        <w:t>Careful management and prioritisation of expenditure</w:t>
      </w:r>
    </w:p>
    <w:p w14:paraId="2199ACBE" w14:textId="77777777" w:rsidR="00ED673F" w:rsidRPr="00ED673F" w:rsidRDefault="00ED673F" w:rsidP="00ED673F">
      <w:pPr>
        <w:ind w:left="360"/>
      </w:pPr>
      <w:r w:rsidRPr="00ED673F">
        <w:t>We undertake a rigorous and robust budget setting process each year, including a line by line review of operating budgets and proposed projects to ensure alignment with strategic priorities and best value. Performance is monitored closely throughout the year with forecasts updated monthly and quarterly financial review for Council endorsement.</w:t>
      </w:r>
    </w:p>
    <w:p w14:paraId="1F84C8D6" w14:textId="77777777" w:rsidR="00ED673F" w:rsidRPr="00ED673F" w:rsidRDefault="00ED673F" w:rsidP="00ED673F">
      <w:pPr>
        <w:ind w:left="360"/>
      </w:pPr>
      <w:r w:rsidRPr="00ED673F">
        <w:t>In addition to the disciplined budget setting and expenditure monitoring, the strategy in the Outlook provides $4.2 million per annum for operating projects.  This represents a minor reduction compared to historical expenditure levels, resulting in cumulative savings of $2.0 million over the 2018-2027 period.</w:t>
      </w:r>
    </w:p>
    <w:p w14:paraId="4419775F" w14:textId="77777777" w:rsidR="00ED673F" w:rsidRPr="00ED673F" w:rsidRDefault="00ED673F" w:rsidP="00ED673F">
      <w:pPr>
        <w:ind w:left="360"/>
      </w:pPr>
      <w:r w:rsidRPr="00ED673F">
        <w:t>Our focus on improved asset management sees investment prioritised on assets most in need of intervention rather than those in relatively good condition.  This translates to an increase in spending on buildings, drainage and technology over the Outlook period, partially offset by reducing road and footpath renewal budgets.</w:t>
      </w:r>
    </w:p>
    <w:p w14:paraId="20054D7F" w14:textId="77777777" w:rsidR="00ED673F" w:rsidRPr="00ED673F" w:rsidRDefault="00ED673F" w:rsidP="00ED673F">
      <w:pPr>
        <w:ind w:left="360"/>
      </w:pPr>
      <w:r w:rsidRPr="00ED673F">
        <w:t xml:space="preserve">We will consider service delivery options, including fundamental changes to the way services are targeted and delivered and consideration of service level reductions in areas of lower strategic priority. </w:t>
      </w:r>
    </w:p>
    <w:p w14:paraId="067AB1FE" w14:textId="77777777" w:rsidR="00ED673F" w:rsidRPr="00ED673F" w:rsidRDefault="00ED673F" w:rsidP="00912294">
      <w:pPr>
        <w:pStyle w:val="ListParagraph"/>
        <w:numPr>
          <w:ilvl w:val="0"/>
          <w:numId w:val="11"/>
        </w:numPr>
        <w:tabs>
          <w:tab w:val="clear" w:pos="-3060"/>
          <w:tab w:val="clear" w:pos="-2340"/>
          <w:tab w:val="clear" w:pos="6300"/>
        </w:tabs>
        <w:suppressAutoHyphens w:val="0"/>
        <w:spacing w:after="0"/>
        <w:rPr>
          <w:b/>
        </w:rPr>
      </w:pPr>
      <w:r w:rsidRPr="00ED673F">
        <w:rPr>
          <w:b/>
        </w:rPr>
        <w:t>Appropriate use of borrowings and reserves</w:t>
      </w:r>
    </w:p>
    <w:p w14:paraId="2C0B213C" w14:textId="77777777" w:rsidR="00ED673F" w:rsidRPr="00ED673F" w:rsidRDefault="00ED673F" w:rsidP="00ED673F">
      <w:pPr>
        <w:ind w:left="360"/>
      </w:pPr>
      <w:r w:rsidRPr="00ED673F">
        <w:t>We will have a prudent and fiscally responsible approach towards the use of new debt for strategic property acquisitions, funding community capital works or operating projects that will provide inter-generational community benefit and work that deliver revenue streams to repay debt.  Borrowing will not be used to fund ongoing operations.</w:t>
      </w:r>
    </w:p>
    <w:p w14:paraId="4206CAF8" w14:textId="77777777" w:rsidR="00ED673F" w:rsidRPr="00ED673F" w:rsidRDefault="00ED673F" w:rsidP="00ED673F">
      <w:pPr>
        <w:ind w:left="360"/>
      </w:pPr>
      <w:r w:rsidRPr="00ED673F">
        <w:t>The Outlook includes refinancing a $7.5 million loan due to mature in 2021/22 on interest only terms for a further 10 years.  This is expected to release $5.3 million in cash over the 2018-2027 period while maintaining very low debt levels.</w:t>
      </w:r>
    </w:p>
    <w:p w14:paraId="19A57393" w14:textId="77777777" w:rsidR="00ED673F" w:rsidRPr="00ED673F" w:rsidRDefault="00ED673F" w:rsidP="00ED673F">
      <w:pPr>
        <w:ind w:left="360"/>
      </w:pPr>
      <w:r w:rsidRPr="00ED673F">
        <w:t>We use reserves where appropriate to invest in one-off new or improved assets where this is considered more efficient than the use of debt.</w:t>
      </w:r>
    </w:p>
    <w:p w14:paraId="7B4F7BF5" w14:textId="77777777" w:rsidR="00ED673F" w:rsidRPr="00ED673F" w:rsidRDefault="00ED673F" w:rsidP="00ED673F">
      <w:pPr>
        <w:ind w:left="360"/>
      </w:pPr>
      <w:r w:rsidRPr="00ED673F">
        <w:t>We maintain general reserves at levels sufficient to ensure operational liquidity.  Reserves may be built up over time to part-fund large capital projects where this is considered more efficient than the use of debt.</w:t>
      </w:r>
    </w:p>
    <w:p w14:paraId="335350A1" w14:textId="77777777" w:rsidR="00ED673F" w:rsidRPr="00ED673F" w:rsidRDefault="00ED673F" w:rsidP="00ED673F">
      <w:pPr>
        <w:ind w:left="360"/>
      </w:pPr>
      <w:r w:rsidRPr="00ED673F">
        <w:t>General reserves are an internal source of borrowing for projects that will benefit future generations such as Ferrars Street Education and Community precinct works.</w:t>
      </w:r>
    </w:p>
    <w:p w14:paraId="1E48F640" w14:textId="77777777" w:rsidR="00ED673F" w:rsidRPr="00ED673F" w:rsidRDefault="00ED673F" w:rsidP="00ED673F">
      <w:pPr>
        <w:ind w:left="360"/>
      </w:pPr>
      <w:r w:rsidRPr="00ED673F">
        <w:t>We will continue to use open space contributions for investment in parks and foreshore open space assets.</w:t>
      </w:r>
    </w:p>
    <w:p w14:paraId="701BACD8" w14:textId="77777777" w:rsidR="00ED673F" w:rsidRPr="00ED673F" w:rsidRDefault="00ED673F" w:rsidP="00ED673F">
      <w:pPr>
        <w:ind w:left="360"/>
      </w:pPr>
      <w:r w:rsidRPr="00ED673F">
        <w:t>Progressive build-up of the Palais Theatre Reserve funded from significantly increased rental returns following the successful leasing process in 2016/17 to ensure funds are available to maintain the theatre over the long-term.</w:t>
      </w:r>
    </w:p>
    <w:p w14:paraId="70C2D220" w14:textId="77777777" w:rsidR="00ED673F" w:rsidRPr="00ED673F" w:rsidRDefault="00ED673F" w:rsidP="00ED673F">
      <w:pPr>
        <w:rPr>
          <w:b/>
          <w:color w:val="948A54"/>
        </w:rPr>
      </w:pPr>
      <w:r w:rsidRPr="00ED673F">
        <w:rPr>
          <w:b/>
          <w:color w:val="948A54"/>
        </w:rPr>
        <w:t>1.3 Growth in the Municipality</w:t>
      </w:r>
    </w:p>
    <w:p w14:paraId="7D0418F9" w14:textId="2C5DA646" w:rsidR="00ED673F" w:rsidRPr="00ED673F" w:rsidRDefault="00ED673F" w:rsidP="00ED673F">
      <w:r w:rsidRPr="00ED673F">
        <w:t xml:space="preserve">The Council faces a period of significant growth in the municipality due to development in FBURA. Current planning projections provide for a possible population increase of 80,000 people by 2050, over 80% of the current population in the municipality. Council is continuing to invest in planning for </w:t>
      </w:r>
      <w:r w:rsidRPr="00ED673F">
        <w:lastRenderedPageBreak/>
        <w:t>growth in the municipality, including FBURA, to ensure that service outcomes meet the expectations of current and future generations.</w:t>
      </w:r>
    </w:p>
    <w:p w14:paraId="213EF255" w14:textId="77777777" w:rsidR="00ED673F" w:rsidRPr="00ED673F" w:rsidRDefault="00ED673F" w:rsidP="00ED673F">
      <w:r w:rsidRPr="00ED673F">
        <w:t>Council is working closely with State Government to deliver on a package of work in the Montague Precinct, where development is to occurring first within FBURA. This Outlook includes financial outcomes from works agreed with State Government and known proposals only.</w:t>
      </w:r>
    </w:p>
    <w:p w14:paraId="06E373AF" w14:textId="77777777" w:rsidR="00ED673F" w:rsidRPr="00ED673F" w:rsidRDefault="00ED673F" w:rsidP="00ED673F">
      <w:r w:rsidRPr="00ED673F">
        <w:t xml:space="preserve">The State Government is currently in the process of preparing a Developer Contributions Plan for FBURA which will outline future investment needs and funding sources. </w:t>
      </w:r>
    </w:p>
    <w:p w14:paraId="5ED9BB04" w14:textId="77777777" w:rsidR="00ED673F" w:rsidRPr="00ED673F" w:rsidRDefault="00ED673F" w:rsidP="00ED673F">
      <w:r w:rsidRPr="00ED673F">
        <w:t>Due to the uncertainty associated with the future investment profile, no further investment has been incorporated in this Outlook, beyond the immediate proposal for the Montague Precinct – Ferrars St Precinct works and strategic catalytic projects driven by future service requirements for Council have been included in the Outlook. Council will continue to update its financial planning for FBURA as new information becomes available.</w:t>
      </w:r>
    </w:p>
    <w:p w14:paraId="61E87C5E" w14:textId="77777777" w:rsidR="00ED673F" w:rsidRPr="00ED673F" w:rsidRDefault="00ED673F" w:rsidP="00ED673F">
      <w:pPr>
        <w:rPr>
          <w:b/>
          <w:color w:val="948A54"/>
        </w:rPr>
      </w:pPr>
      <w:r w:rsidRPr="00ED673F">
        <w:rPr>
          <w:b/>
          <w:color w:val="948A54"/>
        </w:rPr>
        <w:t>1.4 Climate Change and Renewing Community Assets</w:t>
      </w:r>
    </w:p>
    <w:p w14:paraId="2EF7FBEA" w14:textId="77777777" w:rsidR="00ED673F" w:rsidRPr="00ED673F" w:rsidRDefault="00ED673F" w:rsidP="00ED673F">
      <w:pPr>
        <w:widowControl w:val="0"/>
        <w:autoSpaceDE w:val="0"/>
        <w:autoSpaceDN w:val="0"/>
        <w:adjustRightInd w:val="0"/>
      </w:pPr>
      <w:r w:rsidRPr="00ED673F">
        <w:t xml:space="preserve">Council owns and controls a wide variety of assets ranging from land and buildings to roads, drains, footpaths and open space improvements. The total value of Council’s fixed assets is $2.9 billion and is largely the product of investment by prior generations in the municipality. Consistent with the trend across the local government sector, Council is facing escalating costs to maintain and renew its ageing asset base. </w:t>
      </w:r>
    </w:p>
    <w:p w14:paraId="7A880AB5" w14:textId="77777777" w:rsidR="00ED673F" w:rsidRPr="00ED673F" w:rsidRDefault="00ED673F" w:rsidP="00ED673F">
      <w:pPr>
        <w:widowControl w:val="0"/>
        <w:autoSpaceDE w:val="0"/>
        <w:autoSpaceDN w:val="0"/>
        <w:adjustRightInd w:val="0"/>
      </w:pPr>
      <w:r w:rsidRPr="00ED673F">
        <w:t xml:space="preserve">Much of the City is only one to three metres above sea level and therefore vulnerable to the impacts of climate change.  It is expected that flooding of coastal properties and public amenities, storm damage to infrastructure and beach erosion are examples of climate change impacts.  In responding to climate change, upgrading and renewing our assets will need to be designed and built to suit. This means additional costs. </w:t>
      </w:r>
    </w:p>
    <w:p w14:paraId="500FC5A1" w14:textId="77777777" w:rsidR="00ED673F" w:rsidRPr="00ED673F" w:rsidRDefault="00ED673F" w:rsidP="00ED673F">
      <w:pPr>
        <w:widowControl w:val="0"/>
        <w:autoSpaceDE w:val="0"/>
        <w:autoSpaceDN w:val="0"/>
        <w:adjustRightInd w:val="0"/>
      </w:pPr>
      <w:r w:rsidRPr="00ED673F">
        <w:t xml:space="preserve">This Outlook considers the increasing renewals expenditure due to an expanding asset base, as well as cost escalation for delivering renewals and the impacts of climate change. A major focus of Council is to continue to improve its asset planning and management capability. The risk of insufficient asset renewal investment is that assets deteriorate much faster than necessary, costing Council more in the long run and potentially compromising service levels. </w:t>
      </w:r>
    </w:p>
    <w:p w14:paraId="081D7F58" w14:textId="77777777" w:rsidR="00ED673F" w:rsidRPr="00ED673F" w:rsidRDefault="00ED673F" w:rsidP="00ED673F">
      <w:pPr>
        <w:rPr>
          <w:b/>
          <w:color w:val="948A54"/>
        </w:rPr>
      </w:pPr>
      <w:r w:rsidRPr="00ED673F">
        <w:rPr>
          <w:b/>
          <w:color w:val="948A54"/>
        </w:rPr>
        <w:t>1.5 Impacts of State and Commonwealth Government Legislation and Policy</w:t>
      </w:r>
    </w:p>
    <w:p w14:paraId="6EAAFBE1" w14:textId="77777777" w:rsidR="00ED673F" w:rsidRPr="00ED673F" w:rsidRDefault="00ED673F" w:rsidP="00ED673F">
      <w:r w:rsidRPr="00ED673F">
        <w:t>The transfer of responsibilities and costs from other levels of Government to councils has been well documented and continues to be a significant issue for the City of Port Phillip. Types of ‘cost shifting’ and additional taxes that currently impact Council are:</w:t>
      </w:r>
    </w:p>
    <w:p w14:paraId="308DC752"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The indirect impact of Government policies that formally or informally transfer service responsibility to Council , for example Council currently allocates resources to supporting social housing ($500,000), a public policy area that in many respects should be the responsibility of State and Commonwealth Governments</w:t>
      </w:r>
    </w:p>
    <w:p w14:paraId="4A2473DF"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The introduction of the congestion levy, which is being partly funded by a contribution of rates revenue to mitigate the significant negative impact on visitation and trade in the areas where the levy applies (in addition to an increase in parking fees).</w:t>
      </w:r>
    </w:p>
    <w:p w14:paraId="737E1F1B"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Additional capital expenditure budget will be required to ensure Council buildings are compliant in accordance with the Disability Discrimination Act and Building Code Compliance.</w:t>
      </w:r>
    </w:p>
    <w:p w14:paraId="487C3AA1"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 xml:space="preserve">Heightened awareness of acts of terrorism in public places require stricter Emergency Management resourcing. </w:t>
      </w:r>
    </w:p>
    <w:p w14:paraId="60E21B03"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240"/>
        <w:ind w:left="714" w:hanging="357"/>
      </w:pPr>
      <w:r w:rsidRPr="00ED673F">
        <w:t>Pending legislation changes including the Local Government Act review with the standardisation of valuation methodology for rating purpose to Capital Improved Value, the centralisation of property valuation function back to Valuer-General, and the annualisation of property valuation process will result in additional costs to Council.</w:t>
      </w:r>
    </w:p>
    <w:p w14:paraId="5D332AD7" w14:textId="77777777" w:rsidR="00ED673F" w:rsidRPr="00ED673F" w:rsidRDefault="00ED673F" w:rsidP="00ED673F">
      <w:pPr>
        <w:rPr>
          <w:b/>
          <w:color w:val="948A54"/>
        </w:rPr>
      </w:pPr>
      <w:r w:rsidRPr="00ED673F">
        <w:rPr>
          <w:b/>
          <w:color w:val="948A54"/>
        </w:rPr>
        <w:t>1.6 Rapid Evolution of Technology</w:t>
      </w:r>
    </w:p>
    <w:p w14:paraId="0EFF5166" w14:textId="77777777" w:rsidR="00ED673F" w:rsidRPr="00ED673F" w:rsidRDefault="00ED673F" w:rsidP="00ED673F">
      <w:r w:rsidRPr="00ED673F">
        <w:t xml:space="preserve">The world is becoming more connected. People, businesses and governments are increasingly moving online to connect, deliver and access services, obtain information and perform activities </w:t>
      </w:r>
      <w:r w:rsidRPr="00ED673F">
        <w:lastRenderedPageBreak/>
        <w:t>like shopping and working.  Technology is also changing the way our residents work.  Around one in every 12 workers works from home.</w:t>
      </w:r>
    </w:p>
    <w:p w14:paraId="73E280FB" w14:textId="77777777" w:rsidR="00ED673F" w:rsidRPr="00ED673F" w:rsidRDefault="00ED673F" w:rsidP="00ED673F">
      <w:r w:rsidRPr="00ED673F">
        <w:t>We can expect increasing demand for council services to be delivered online, and engagement through social media and other digital means.</w:t>
      </w:r>
    </w:p>
    <w:p w14:paraId="537B0F99" w14:textId="77777777" w:rsidR="00ED673F" w:rsidRPr="00ED673F" w:rsidRDefault="00ED673F" w:rsidP="00ED673F">
      <w:r w:rsidRPr="00ED673F">
        <w:t>We will need to respond to this demand and think about how we operate and support people to connect with Council, particularly those who have limited online access and/or digital literacy.  The digital shift will reshape how we deliver services and engage our community in decision making.</w:t>
      </w:r>
    </w:p>
    <w:p w14:paraId="33124882" w14:textId="77777777" w:rsidR="00ED673F" w:rsidRPr="00ED673F" w:rsidRDefault="00ED673F" w:rsidP="00ED673F">
      <w:r w:rsidRPr="00ED673F">
        <w:t>Technological advances also present opportunities for Council to consider new methods of service delivery, such as electronic parking management, that have the potential to offer efficiencies and improved community outcomes.  New technologies will enable our workforce to be more mobile and deliver services that support community health and wellbeing where, when and how they want them.</w:t>
      </w:r>
    </w:p>
    <w:p w14:paraId="5F747A97" w14:textId="71A7AAC5" w:rsidR="00ED673F" w:rsidRPr="00ED673F" w:rsidRDefault="00ED673F" w:rsidP="00ED673F">
      <w:r w:rsidRPr="00ED673F">
        <w:t xml:space="preserve">Investment in the technology requires upfront capital investment with payback from ongoing efficiencies and savings.  Rapid change not managed properly can lead many issues that impact on services to customers, staff morale and process inefficiencies.  Over the life of the Outlook, we plan to invest </w:t>
      </w:r>
      <w:r w:rsidR="00264965">
        <w:t xml:space="preserve">a minimum of </w:t>
      </w:r>
      <w:r w:rsidRPr="00ED673F">
        <w:t>$25 million in technology to transform into the digital space and offer a greater and better customer experience.</w:t>
      </w:r>
    </w:p>
    <w:p w14:paraId="6D031F16" w14:textId="77777777" w:rsidR="00461C0A" w:rsidRDefault="00461C0A" w:rsidP="00ED673F">
      <w:pPr>
        <w:rPr>
          <w:b/>
          <w:color w:val="948A54"/>
        </w:rPr>
      </w:pPr>
    </w:p>
    <w:p w14:paraId="128FEB1E" w14:textId="77777777" w:rsidR="00ED673F" w:rsidRPr="00ED673F" w:rsidRDefault="00ED673F" w:rsidP="00ED673F">
      <w:pPr>
        <w:rPr>
          <w:b/>
          <w:color w:val="948A54"/>
        </w:rPr>
      </w:pPr>
      <w:r w:rsidRPr="00ED673F">
        <w:rPr>
          <w:b/>
          <w:color w:val="948A54"/>
        </w:rPr>
        <w:t xml:space="preserve">1.7 Financial Outcomes </w:t>
      </w:r>
    </w:p>
    <w:p w14:paraId="363BA5D5" w14:textId="77777777" w:rsidR="00ED673F" w:rsidRPr="00ED673F" w:rsidRDefault="00ED673F" w:rsidP="00ED673F">
      <w:r w:rsidRPr="00ED673F">
        <w:t>Council decision making continues to have reference to principles of sound financial management to ensure Council’s finances remain prudent and sustainable. This Outlook outlines the Council principles by which financial resources are managed to support financial sustainability.</w:t>
      </w:r>
    </w:p>
    <w:p w14:paraId="29559E3E" w14:textId="77777777" w:rsidR="00ED673F" w:rsidRPr="00ED673F" w:rsidRDefault="00ED673F" w:rsidP="00ED673F">
      <w:r w:rsidRPr="00ED673F">
        <w:t>This Outlook assesses Council financial performance using key financial indicators. Refer to Section 7 for the performance over the 10 year outlook.</w:t>
      </w:r>
    </w:p>
    <w:p w14:paraId="54A47D66" w14:textId="77777777" w:rsidR="00ED673F" w:rsidRPr="00ED673F" w:rsidRDefault="00ED673F" w:rsidP="00ED673F">
      <w:pPr>
        <w:jc w:val="both"/>
      </w:pPr>
      <w:r w:rsidRPr="00ED673F">
        <w:rPr>
          <w:b/>
        </w:rPr>
        <w:t>Cash surplus/deficit</w:t>
      </w:r>
      <w:r w:rsidRPr="00ED673F">
        <w:t xml:space="preserve"> – This is a measure of the cash inflows from all sources of revenue and the cash outflows for all expenditure (capital and operating expenditure both included). The Outlook presents a balanced budget over the 10 year planning horizon. However it is important to note that Council will have to make significant financial savings to meet the rate capping challenge.</w:t>
      </w:r>
    </w:p>
    <w:p w14:paraId="456B99D5" w14:textId="77777777" w:rsidR="00ED673F" w:rsidRPr="00ED673F" w:rsidRDefault="00ED673F" w:rsidP="00ED673F">
      <w:pPr>
        <w:jc w:val="both"/>
      </w:pPr>
      <w:r w:rsidRPr="00ED673F">
        <w:rPr>
          <w:b/>
        </w:rPr>
        <w:t>Borrowings</w:t>
      </w:r>
      <w:r w:rsidRPr="00ED673F">
        <w:t xml:space="preserve"> – No further investment has been incorporated in this Outlook beyond the immediate proposal for the Montague Precinct due to the uncertainty associated with the future investment profile.  It is most likely that investment for growth in the municipality will require the prudent use of Council borrowing.  Council has the capacity to borrow up to $68 million and achieve a low risk rating in accordance with VAGO’s financial sustainability risk assessment.  The Outlook assumes refinancing of an existing $7.5 million loan due to mature in 2021/22 for a further ten year period.</w:t>
      </w:r>
    </w:p>
    <w:p w14:paraId="4BF949CF" w14:textId="35EF8439" w:rsidR="00ED673F" w:rsidRPr="00ED673F" w:rsidRDefault="00ED673F" w:rsidP="00ED673F">
      <w:r w:rsidRPr="00ED673F">
        <w:rPr>
          <w:b/>
        </w:rPr>
        <w:t>Working Capital</w:t>
      </w:r>
      <w:r w:rsidRPr="00ED673F">
        <w:t xml:space="preserve"> – This is a measure of current assets to current liabilities in determining the Council’s ability to pay existing liabilities that falls within the next 12 months. The outlook is expected to </w:t>
      </w:r>
      <w:r w:rsidR="000760E5">
        <w:t>remain above 100%, peaking at 245% and the lowest point at 197</w:t>
      </w:r>
      <w:r w:rsidRPr="00ED673F">
        <w:t>%.</w:t>
      </w:r>
    </w:p>
    <w:p w14:paraId="25C324CA" w14:textId="4075EC5E" w:rsidR="00461C0A" w:rsidRDefault="00ED673F" w:rsidP="00ED673F">
      <w:r w:rsidRPr="00ED673F">
        <w:rPr>
          <w:b/>
        </w:rPr>
        <w:t>Renewal Gap</w:t>
      </w:r>
      <w:r w:rsidRPr="00ED673F">
        <w:t xml:space="preserve"> – This measures the spending on existing assets through renewal and upgrade compared to depreciation.  A ratio100% or higher indicates spending on existing assets is faster than the rate of asset deterioration.  The Outlook presents a significant investment portfolio over the 10 year planning horizon on existing assets, achieving renewal gap ratio between 118% (lowest) and 136% (highest).  This recognises that in the past two years, we have been below 100% and the need for upgrades driven by safety (BCA) and accessibility (DDA) legislation. </w:t>
      </w:r>
      <w:r>
        <w:br/>
      </w:r>
    </w:p>
    <w:p w14:paraId="06F99849" w14:textId="77777777" w:rsidR="00461C0A" w:rsidRDefault="00461C0A">
      <w:pPr>
        <w:tabs>
          <w:tab w:val="clear" w:pos="-3060"/>
          <w:tab w:val="clear" w:pos="-2340"/>
          <w:tab w:val="clear" w:pos="6300"/>
        </w:tabs>
        <w:suppressAutoHyphens w:val="0"/>
        <w:spacing w:after="160" w:line="259" w:lineRule="auto"/>
      </w:pPr>
      <w:r>
        <w:br w:type="page"/>
      </w:r>
    </w:p>
    <w:p w14:paraId="4A67224A" w14:textId="77777777" w:rsidR="00ED673F" w:rsidRPr="00ED673F" w:rsidRDefault="00ED673F" w:rsidP="00ED673F">
      <w:pPr>
        <w:rPr>
          <w:b/>
        </w:rPr>
      </w:pPr>
      <w:r w:rsidRPr="00ED673F">
        <w:rPr>
          <w:b/>
          <w:color w:val="948A54"/>
        </w:rPr>
        <w:lastRenderedPageBreak/>
        <w:t>2. Financial Sustainability</w:t>
      </w:r>
    </w:p>
    <w:p w14:paraId="719B409B" w14:textId="5C73FF5B" w:rsidR="00ED673F" w:rsidRPr="00ED673F" w:rsidRDefault="00ED673F" w:rsidP="00ED673F">
      <w:r w:rsidRPr="00ED673F">
        <w:t>Despite being in a</w:t>
      </w:r>
      <w:r w:rsidR="0002705F">
        <w:t xml:space="preserve"> relatively</w:t>
      </w:r>
      <w:r w:rsidRPr="00ED673F">
        <w:t xml:space="preserve"> strong financial position, rates capping introduced in the 2016/17 financial year presents a significant threat to Council’s financial sustainability. This Outlook outlines the extent of that challenge.</w:t>
      </w:r>
    </w:p>
    <w:p w14:paraId="6C0A5E56" w14:textId="77777777" w:rsidR="00ED673F" w:rsidRPr="00ED673F" w:rsidRDefault="00ED673F" w:rsidP="00ED673F">
      <w:r w:rsidRPr="00ED673F">
        <w:t xml:space="preserve">As outlined above, to maintain financial sustainability in the face of this challenge, Council is fundamentally reviewing its approach to service delivery. In doing so, Council will continue to consider the principles of sound financial management prescribed in the </w:t>
      </w:r>
      <w:r w:rsidRPr="00ED673F">
        <w:rPr>
          <w:i/>
        </w:rPr>
        <w:t>Local Government Act 1989</w:t>
      </w:r>
      <w:r w:rsidRPr="00ED673F">
        <w:t xml:space="preserve"> in the process of meeting the rates capping challenge, being to:</w:t>
      </w:r>
    </w:p>
    <w:p w14:paraId="64D1F5F6"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prudently manage financial risks related to debt, assets and liabilities</w:t>
      </w:r>
    </w:p>
    <w:p w14:paraId="65D5CDC9"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provide reasonable stability in the level of the rates burden</w:t>
      </w:r>
    </w:p>
    <w:p w14:paraId="564475AE"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consider the financial impacts of Council decisions on future generations</w:t>
      </w:r>
    </w:p>
    <w:p w14:paraId="1B637000"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provide full, accurate and timely disclosure of financial information.</w:t>
      </w:r>
    </w:p>
    <w:p w14:paraId="50CC7708" w14:textId="77777777" w:rsidR="00ED673F" w:rsidRPr="00ED673F" w:rsidRDefault="00ED673F" w:rsidP="00ED673F">
      <w:pPr>
        <w:spacing w:after="0"/>
      </w:pPr>
    </w:p>
    <w:p w14:paraId="4EFF4F3D" w14:textId="77777777" w:rsidR="00ED673F" w:rsidRPr="00ED673F" w:rsidRDefault="00ED673F" w:rsidP="00ED673F">
      <w:r w:rsidRPr="00ED673F">
        <w:t>To support financial sustainability, Council has its own financial principles which aim to ensure continued operating viability, sustainable funding of assets and the ability to absorb the impact of unexpected budget shocks. These are outlined in the table below.</w:t>
      </w:r>
    </w:p>
    <w:tbl>
      <w:tblPr>
        <w:tblW w:w="9299" w:type="dxa"/>
        <w:tblInd w:w="93" w:type="dxa"/>
        <w:tblLook w:val="0000" w:firstRow="0" w:lastRow="0" w:firstColumn="0" w:lastColumn="0" w:noHBand="0" w:noVBand="0"/>
      </w:tblPr>
      <w:tblGrid>
        <w:gridCol w:w="2674"/>
        <w:gridCol w:w="439"/>
        <w:gridCol w:w="6186"/>
      </w:tblGrid>
      <w:tr w:rsidR="00ED673F" w:rsidRPr="00ED673F" w14:paraId="2ACFDB88" w14:textId="77777777" w:rsidTr="00ED673F">
        <w:trPr>
          <w:trHeight w:val="496"/>
        </w:trPr>
        <w:tc>
          <w:tcPr>
            <w:tcW w:w="2654" w:type="dxa"/>
            <w:tcBorders>
              <w:top w:val="nil"/>
              <w:left w:val="nil"/>
              <w:bottom w:val="single" w:sz="4" w:space="0" w:color="auto"/>
              <w:right w:val="nil"/>
            </w:tcBorders>
            <w:shd w:val="clear" w:color="auto" w:fill="008080"/>
            <w:vAlign w:val="center"/>
          </w:tcPr>
          <w:p w14:paraId="338FAF21" w14:textId="77777777" w:rsidR="00ED673F" w:rsidRPr="00ED673F" w:rsidRDefault="00ED673F" w:rsidP="00ED673F">
            <w:pPr>
              <w:jc w:val="center"/>
              <w:rPr>
                <w:b/>
                <w:bCs/>
                <w:color w:val="FFFFFF"/>
              </w:rPr>
            </w:pPr>
            <w:r w:rsidRPr="00ED673F">
              <w:rPr>
                <w:b/>
                <w:bCs/>
                <w:color w:val="FFFFFF"/>
              </w:rPr>
              <w:t>Financial principles</w:t>
            </w:r>
          </w:p>
        </w:tc>
        <w:tc>
          <w:tcPr>
            <w:tcW w:w="436" w:type="dxa"/>
            <w:tcBorders>
              <w:top w:val="nil"/>
              <w:left w:val="nil"/>
              <w:bottom w:val="single" w:sz="4" w:space="0" w:color="auto"/>
              <w:right w:val="nil"/>
            </w:tcBorders>
            <w:shd w:val="clear" w:color="auto" w:fill="008080"/>
            <w:vAlign w:val="center"/>
          </w:tcPr>
          <w:p w14:paraId="2A3E41E8" w14:textId="77777777" w:rsidR="00ED673F" w:rsidRPr="00ED673F" w:rsidRDefault="00ED673F" w:rsidP="00ED673F">
            <w:pPr>
              <w:jc w:val="center"/>
              <w:rPr>
                <w:b/>
                <w:bCs/>
                <w:color w:val="FFFFFF"/>
              </w:rPr>
            </w:pPr>
          </w:p>
        </w:tc>
        <w:tc>
          <w:tcPr>
            <w:tcW w:w="6139" w:type="dxa"/>
            <w:tcBorders>
              <w:top w:val="nil"/>
              <w:left w:val="nil"/>
              <w:bottom w:val="single" w:sz="4" w:space="0" w:color="auto"/>
              <w:right w:val="nil"/>
            </w:tcBorders>
            <w:shd w:val="clear" w:color="auto" w:fill="008080"/>
            <w:vAlign w:val="center"/>
          </w:tcPr>
          <w:p w14:paraId="31732E9C" w14:textId="77777777" w:rsidR="00ED673F" w:rsidRPr="00ED673F" w:rsidRDefault="00ED673F" w:rsidP="00ED673F">
            <w:pPr>
              <w:jc w:val="center"/>
              <w:rPr>
                <w:b/>
                <w:bCs/>
                <w:color w:val="FFFFFF"/>
              </w:rPr>
            </w:pPr>
            <w:r w:rsidRPr="00ED673F">
              <w:rPr>
                <w:b/>
                <w:bCs/>
                <w:color w:val="FFFFFF"/>
              </w:rPr>
              <w:t>Measures</w:t>
            </w:r>
          </w:p>
        </w:tc>
      </w:tr>
      <w:tr w:rsidR="00ED673F" w:rsidRPr="00ED673F" w14:paraId="17D0E656" w14:textId="77777777" w:rsidTr="00ED673F">
        <w:trPr>
          <w:trHeight w:val="753"/>
        </w:trPr>
        <w:tc>
          <w:tcPr>
            <w:tcW w:w="2654" w:type="dxa"/>
            <w:vMerge w:val="restart"/>
            <w:tcBorders>
              <w:top w:val="single" w:sz="4" w:space="0" w:color="auto"/>
              <w:left w:val="nil"/>
              <w:right w:val="nil"/>
            </w:tcBorders>
            <w:shd w:val="clear" w:color="auto" w:fill="auto"/>
          </w:tcPr>
          <w:p w14:paraId="0325C77A" w14:textId="5E6CC223" w:rsidR="00ED673F" w:rsidRPr="00ED673F" w:rsidRDefault="00ED673F" w:rsidP="0002705F">
            <w:r w:rsidRPr="00ED673F">
              <w:t>1. CoPP will have fair, affordable and stable revenue and financing mechanisms</w:t>
            </w:r>
          </w:p>
        </w:tc>
        <w:tc>
          <w:tcPr>
            <w:tcW w:w="436" w:type="dxa"/>
            <w:tcBorders>
              <w:top w:val="single" w:sz="4" w:space="0" w:color="auto"/>
              <w:left w:val="nil"/>
              <w:right w:val="nil"/>
            </w:tcBorders>
            <w:shd w:val="clear" w:color="auto" w:fill="auto"/>
          </w:tcPr>
          <w:p w14:paraId="5B624958" w14:textId="77777777" w:rsidR="00ED673F" w:rsidRPr="00ED673F" w:rsidRDefault="00ED673F" w:rsidP="00ED673F">
            <w:pPr>
              <w:jc w:val="center"/>
            </w:pPr>
            <w:r w:rsidRPr="00ED673F">
              <w:t>1</w:t>
            </w:r>
          </w:p>
        </w:tc>
        <w:tc>
          <w:tcPr>
            <w:tcW w:w="6139" w:type="dxa"/>
            <w:tcBorders>
              <w:top w:val="single" w:sz="4" w:space="0" w:color="auto"/>
              <w:left w:val="nil"/>
              <w:right w:val="nil"/>
            </w:tcBorders>
            <w:shd w:val="clear" w:color="auto" w:fill="auto"/>
          </w:tcPr>
          <w:p w14:paraId="64A48D62" w14:textId="77777777" w:rsidR="00ED673F" w:rsidRPr="00ED673F" w:rsidRDefault="00ED673F" w:rsidP="00ED673F">
            <w:r w:rsidRPr="00ED673F">
              <w:t>Funding is prioritised towards achieving Council strategies and priorities and in accordance with key policies</w:t>
            </w:r>
          </w:p>
        </w:tc>
      </w:tr>
      <w:tr w:rsidR="00ED673F" w:rsidRPr="00ED673F" w14:paraId="15917DB4" w14:textId="77777777" w:rsidTr="00ED673F">
        <w:trPr>
          <w:trHeight w:val="559"/>
        </w:trPr>
        <w:tc>
          <w:tcPr>
            <w:tcW w:w="2654" w:type="dxa"/>
            <w:vMerge/>
            <w:tcBorders>
              <w:left w:val="nil"/>
              <w:right w:val="nil"/>
            </w:tcBorders>
            <w:shd w:val="clear" w:color="auto" w:fill="auto"/>
          </w:tcPr>
          <w:p w14:paraId="44211CC7" w14:textId="77777777" w:rsidR="00ED673F" w:rsidRPr="00ED673F" w:rsidRDefault="00ED673F" w:rsidP="00ED673F"/>
        </w:tc>
        <w:tc>
          <w:tcPr>
            <w:tcW w:w="436" w:type="dxa"/>
            <w:tcBorders>
              <w:top w:val="nil"/>
              <w:left w:val="nil"/>
              <w:right w:val="nil"/>
            </w:tcBorders>
            <w:shd w:val="clear" w:color="auto" w:fill="auto"/>
          </w:tcPr>
          <w:p w14:paraId="4559C639" w14:textId="77777777" w:rsidR="00ED673F" w:rsidRPr="00ED673F" w:rsidRDefault="00ED673F" w:rsidP="00ED673F">
            <w:pPr>
              <w:jc w:val="center"/>
            </w:pPr>
            <w:r w:rsidRPr="00ED673F">
              <w:t>2</w:t>
            </w:r>
          </w:p>
        </w:tc>
        <w:tc>
          <w:tcPr>
            <w:tcW w:w="6139" w:type="dxa"/>
            <w:tcBorders>
              <w:top w:val="nil"/>
              <w:left w:val="nil"/>
              <w:right w:val="nil"/>
            </w:tcBorders>
            <w:shd w:val="clear" w:color="auto" w:fill="auto"/>
          </w:tcPr>
          <w:p w14:paraId="201660EF" w14:textId="77777777" w:rsidR="00ED673F" w:rsidRPr="00ED673F" w:rsidRDefault="00ED673F" w:rsidP="00ED673F">
            <w:r w:rsidRPr="00ED673F">
              <w:t>The distribution of costs and revenues be fair and reasonable with a level of consistency in treatment</w:t>
            </w:r>
          </w:p>
        </w:tc>
      </w:tr>
      <w:tr w:rsidR="00ED673F" w:rsidRPr="00ED673F" w14:paraId="6A7F5EB9" w14:textId="77777777" w:rsidTr="00ED673F">
        <w:trPr>
          <w:trHeight w:val="658"/>
        </w:trPr>
        <w:tc>
          <w:tcPr>
            <w:tcW w:w="2654" w:type="dxa"/>
            <w:tcBorders>
              <w:left w:val="nil"/>
              <w:right w:val="nil"/>
            </w:tcBorders>
            <w:shd w:val="clear" w:color="auto" w:fill="auto"/>
          </w:tcPr>
          <w:p w14:paraId="099023CF" w14:textId="77777777" w:rsidR="00ED673F" w:rsidRPr="00ED673F" w:rsidRDefault="00ED673F" w:rsidP="00ED673F"/>
        </w:tc>
        <w:tc>
          <w:tcPr>
            <w:tcW w:w="436" w:type="dxa"/>
            <w:tcBorders>
              <w:left w:val="nil"/>
              <w:right w:val="nil"/>
            </w:tcBorders>
            <w:shd w:val="clear" w:color="auto" w:fill="auto"/>
          </w:tcPr>
          <w:p w14:paraId="79BA5F43" w14:textId="77777777" w:rsidR="00ED673F" w:rsidRPr="00ED673F" w:rsidRDefault="00ED673F" w:rsidP="00ED673F">
            <w:pPr>
              <w:jc w:val="center"/>
            </w:pPr>
            <w:r w:rsidRPr="00ED673F">
              <w:t>3</w:t>
            </w:r>
          </w:p>
        </w:tc>
        <w:tc>
          <w:tcPr>
            <w:tcW w:w="6139" w:type="dxa"/>
            <w:tcBorders>
              <w:left w:val="nil"/>
              <w:right w:val="nil"/>
            </w:tcBorders>
            <w:shd w:val="clear" w:color="auto" w:fill="auto"/>
          </w:tcPr>
          <w:p w14:paraId="7DE58DD7" w14:textId="77777777" w:rsidR="00ED673F" w:rsidRPr="00ED673F" w:rsidRDefault="00ED673F" w:rsidP="00ED673F">
            <w:r w:rsidRPr="00ED673F">
              <w:t>The capacity of people to pay will be considered in determining the appropriate mix of funding mechanisms</w:t>
            </w:r>
          </w:p>
        </w:tc>
      </w:tr>
      <w:tr w:rsidR="00ED673F" w:rsidRPr="00ED673F" w14:paraId="29D245E3" w14:textId="77777777" w:rsidTr="00ED673F">
        <w:trPr>
          <w:trHeight w:val="940"/>
        </w:trPr>
        <w:tc>
          <w:tcPr>
            <w:tcW w:w="2654" w:type="dxa"/>
            <w:tcBorders>
              <w:left w:val="nil"/>
              <w:right w:val="nil"/>
            </w:tcBorders>
            <w:shd w:val="clear" w:color="auto" w:fill="auto"/>
          </w:tcPr>
          <w:p w14:paraId="3361D585" w14:textId="77777777" w:rsidR="00ED673F" w:rsidRPr="00ED673F" w:rsidRDefault="00ED673F" w:rsidP="00ED673F"/>
        </w:tc>
        <w:tc>
          <w:tcPr>
            <w:tcW w:w="436" w:type="dxa"/>
            <w:tcBorders>
              <w:left w:val="nil"/>
              <w:right w:val="nil"/>
            </w:tcBorders>
            <w:shd w:val="clear" w:color="auto" w:fill="auto"/>
          </w:tcPr>
          <w:p w14:paraId="4B4921E3" w14:textId="77777777" w:rsidR="00ED673F" w:rsidRPr="00ED673F" w:rsidRDefault="00ED673F" w:rsidP="00ED673F">
            <w:pPr>
              <w:jc w:val="center"/>
            </w:pPr>
            <w:r w:rsidRPr="00ED673F">
              <w:t>4</w:t>
            </w:r>
          </w:p>
        </w:tc>
        <w:tc>
          <w:tcPr>
            <w:tcW w:w="6139" w:type="dxa"/>
            <w:tcBorders>
              <w:left w:val="nil"/>
              <w:right w:val="nil"/>
            </w:tcBorders>
            <w:shd w:val="clear" w:color="auto" w:fill="auto"/>
          </w:tcPr>
          <w:p w14:paraId="4FA5E1BF" w14:textId="77777777" w:rsidR="00ED673F" w:rsidRPr="00ED673F" w:rsidRDefault="00ED673F" w:rsidP="00ED673F">
            <w:r w:rsidRPr="00ED673F">
              <w:t>Where benefits from an investment are to be enjoyed across future generations, those future generations should contribute to the cost</w:t>
            </w:r>
          </w:p>
        </w:tc>
      </w:tr>
      <w:tr w:rsidR="00ED673F" w:rsidRPr="00ED673F" w14:paraId="1653D52D" w14:textId="77777777" w:rsidTr="00ED673F">
        <w:trPr>
          <w:trHeight w:val="566"/>
        </w:trPr>
        <w:tc>
          <w:tcPr>
            <w:tcW w:w="2654" w:type="dxa"/>
            <w:tcBorders>
              <w:left w:val="nil"/>
              <w:right w:val="nil"/>
            </w:tcBorders>
            <w:shd w:val="clear" w:color="auto" w:fill="auto"/>
          </w:tcPr>
          <w:p w14:paraId="02CFE5B8" w14:textId="77777777" w:rsidR="00ED673F" w:rsidRPr="00ED673F" w:rsidRDefault="00ED673F" w:rsidP="00ED673F"/>
        </w:tc>
        <w:tc>
          <w:tcPr>
            <w:tcW w:w="436" w:type="dxa"/>
            <w:tcBorders>
              <w:left w:val="nil"/>
              <w:right w:val="nil"/>
            </w:tcBorders>
            <w:shd w:val="clear" w:color="auto" w:fill="auto"/>
          </w:tcPr>
          <w:p w14:paraId="7CAC658F" w14:textId="77777777" w:rsidR="00ED673F" w:rsidRPr="00ED673F" w:rsidRDefault="00ED673F" w:rsidP="00ED673F">
            <w:pPr>
              <w:jc w:val="center"/>
            </w:pPr>
            <w:r w:rsidRPr="00ED673F">
              <w:t>5</w:t>
            </w:r>
          </w:p>
        </w:tc>
        <w:tc>
          <w:tcPr>
            <w:tcW w:w="6139" w:type="dxa"/>
            <w:tcBorders>
              <w:left w:val="nil"/>
              <w:right w:val="nil"/>
            </w:tcBorders>
            <w:shd w:val="clear" w:color="auto" w:fill="auto"/>
          </w:tcPr>
          <w:p w14:paraId="7CC1151C" w14:textId="77777777" w:rsidR="00ED673F" w:rsidRPr="00ED673F" w:rsidRDefault="00ED673F" w:rsidP="00ED673F">
            <w:r w:rsidRPr="00ED673F">
              <w:t>Those who directly benefit from or cause expenditure will make a contribution towards its funding</w:t>
            </w:r>
          </w:p>
        </w:tc>
      </w:tr>
      <w:tr w:rsidR="00ED673F" w:rsidRPr="00ED673F" w14:paraId="53300121" w14:textId="77777777" w:rsidTr="00ED673F">
        <w:trPr>
          <w:trHeight w:val="575"/>
        </w:trPr>
        <w:tc>
          <w:tcPr>
            <w:tcW w:w="2654" w:type="dxa"/>
            <w:tcBorders>
              <w:left w:val="nil"/>
              <w:right w:val="nil"/>
            </w:tcBorders>
            <w:shd w:val="clear" w:color="auto" w:fill="auto"/>
          </w:tcPr>
          <w:p w14:paraId="2925D885" w14:textId="77777777" w:rsidR="00ED673F" w:rsidRPr="00ED673F" w:rsidRDefault="00ED673F" w:rsidP="00ED673F"/>
        </w:tc>
        <w:tc>
          <w:tcPr>
            <w:tcW w:w="436" w:type="dxa"/>
            <w:tcBorders>
              <w:left w:val="nil"/>
              <w:right w:val="nil"/>
            </w:tcBorders>
            <w:shd w:val="clear" w:color="auto" w:fill="auto"/>
          </w:tcPr>
          <w:p w14:paraId="2BF0307F" w14:textId="77777777" w:rsidR="00ED673F" w:rsidRPr="00ED673F" w:rsidRDefault="00ED673F" w:rsidP="00ED673F">
            <w:pPr>
              <w:jc w:val="center"/>
            </w:pPr>
            <w:r w:rsidRPr="00ED673F">
              <w:t>6</w:t>
            </w:r>
          </w:p>
        </w:tc>
        <w:tc>
          <w:tcPr>
            <w:tcW w:w="6139" w:type="dxa"/>
            <w:tcBorders>
              <w:left w:val="nil"/>
              <w:right w:val="nil"/>
            </w:tcBorders>
            <w:shd w:val="clear" w:color="auto" w:fill="auto"/>
          </w:tcPr>
          <w:p w14:paraId="38814B3C" w14:textId="77777777" w:rsidR="00ED673F" w:rsidRPr="00ED673F" w:rsidRDefault="00ED673F" w:rsidP="00ED673F">
            <w:r w:rsidRPr="00ED673F">
              <w:t>Funding mechanisms will be transparent, practical to implement and not involve unreasonable transaction costs</w:t>
            </w:r>
          </w:p>
        </w:tc>
      </w:tr>
      <w:tr w:rsidR="00ED673F" w:rsidRPr="00ED673F" w14:paraId="6346AB9C" w14:textId="77777777" w:rsidTr="00ED673F">
        <w:trPr>
          <w:trHeight w:val="617"/>
        </w:trPr>
        <w:tc>
          <w:tcPr>
            <w:tcW w:w="2654" w:type="dxa"/>
            <w:tcBorders>
              <w:left w:val="nil"/>
              <w:right w:val="nil"/>
            </w:tcBorders>
            <w:shd w:val="clear" w:color="auto" w:fill="auto"/>
          </w:tcPr>
          <w:p w14:paraId="73A84200" w14:textId="77777777" w:rsidR="00ED673F" w:rsidRPr="00ED673F" w:rsidRDefault="00ED673F" w:rsidP="00ED673F"/>
        </w:tc>
        <w:tc>
          <w:tcPr>
            <w:tcW w:w="436" w:type="dxa"/>
            <w:tcBorders>
              <w:left w:val="nil"/>
              <w:right w:val="nil"/>
            </w:tcBorders>
            <w:shd w:val="clear" w:color="auto" w:fill="auto"/>
          </w:tcPr>
          <w:p w14:paraId="18F8F33D" w14:textId="77777777" w:rsidR="00ED673F" w:rsidRPr="00ED673F" w:rsidRDefault="00ED673F" w:rsidP="00ED673F">
            <w:pPr>
              <w:jc w:val="center"/>
            </w:pPr>
            <w:r w:rsidRPr="00ED673F">
              <w:t>7</w:t>
            </w:r>
          </w:p>
        </w:tc>
        <w:tc>
          <w:tcPr>
            <w:tcW w:w="6139" w:type="dxa"/>
            <w:tcBorders>
              <w:left w:val="nil"/>
              <w:right w:val="nil"/>
            </w:tcBorders>
            <w:shd w:val="clear" w:color="auto" w:fill="auto"/>
          </w:tcPr>
          <w:p w14:paraId="21981ABE" w14:textId="77777777" w:rsidR="00ED673F" w:rsidRPr="00ED673F" w:rsidRDefault="00ED673F" w:rsidP="00ED673F">
            <w:r w:rsidRPr="00ED673F">
              <w:t>Growth in universal services will be funded through growth in the rates and broader revenue base associated with growth</w:t>
            </w:r>
          </w:p>
        </w:tc>
      </w:tr>
      <w:tr w:rsidR="00ED673F" w:rsidRPr="00ED673F" w14:paraId="2EB46EC6" w14:textId="77777777" w:rsidTr="00ED673F">
        <w:trPr>
          <w:trHeight w:val="753"/>
        </w:trPr>
        <w:tc>
          <w:tcPr>
            <w:tcW w:w="2654" w:type="dxa"/>
            <w:tcBorders>
              <w:left w:val="nil"/>
              <w:bottom w:val="single" w:sz="4" w:space="0" w:color="auto"/>
              <w:right w:val="nil"/>
            </w:tcBorders>
            <w:shd w:val="clear" w:color="auto" w:fill="auto"/>
          </w:tcPr>
          <w:p w14:paraId="29326F8B" w14:textId="77777777" w:rsidR="00ED673F" w:rsidRPr="00ED673F" w:rsidRDefault="00ED673F" w:rsidP="00ED673F"/>
        </w:tc>
        <w:tc>
          <w:tcPr>
            <w:tcW w:w="436" w:type="dxa"/>
            <w:tcBorders>
              <w:left w:val="nil"/>
              <w:bottom w:val="single" w:sz="4" w:space="0" w:color="auto"/>
              <w:right w:val="nil"/>
            </w:tcBorders>
            <w:shd w:val="clear" w:color="auto" w:fill="auto"/>
          </w:tcPr>
          <w:p w14:paraId="0EEDE23E" w14:textId="77777777" w:rsidR="00ED673F" w:rsidRPr="00ED673F" w:rsidRDefault="00ED673F" w:rsidP="00ED673F">
            <w:pPr>
              <w:jc w:val="center"/>
            </w:pPr>
            <w:r w:rsidRPr="00ED673F">
              <w:t>8</w:t>
            </w:r>
          </w:p>
        </w:tc>
        <w:tc>
          <w:tcPr>
            <w:tcW w:w="6139" w:type="dxa"/>
            <w:tcBorders>
              <w:left w:val="nil"/>
              <w:bottom w:val="single" w:sz="4" w:space="0" w:color="auto"/>
              <w:right w:val="nil"/>
            </w:tcBorders>
            <w:shd w:val="clear" w:color="auto" w:fill="auto"/>
          </w:tcPr>
          <w:p w14:paraId="570D2795" w14:textId="77777777" w:rsidR="00ED673F" w:rsidRPr="00ED673F" w:rsidRDefault="00ED673F" w:rsidP="00ED673F">
            <w:r w:rsidRPr="00ED673F">
              <w:t>Rate revenue will remain at a stable percentage of total underlying revenue (target between 60% and 65% of total underlying revenue) and other revenue will be strengthened over the medium term to reduce reliance on rate revenue.</w:t>
            </w:r>
          </w:p>
        </w:tc>
      </w:tr>
    </w:tbl>
    <w:p w14:paraId="5B0A6E21" w14:textId="77777777" w:rsidR="00ED673F" w:rsidRPr="00ED673F" w:rsidRDefault="00ED673F" w:rsidP="00ED673F">
      <w:r w:rsidRPr="00ED673F">
        <w:br w:type="page"/>
      </w:r>
    </w:p>
    <w:tbl>
      <w:tblPr>
        <w:tblW w:w="9299" w:type="dxa"/>
        <w:tblInd w:w="93" w:type="dxa"/>
        <w:tblLook w:val="0000" w:firstRow="0" w:lastRow="0" w:firstColumn="0" w:lastColumn="0" w:noHBand="0" w:noVBand="0"/>
      </w:tblPr>
      <w:tblGrid>
        <w:gridCol w:w="2667"/>
        <w:gridCol w:w="463"/>
        <w:gridCol w:w="6169"/>
      </w:tblGrid>
      <w:tr w:rsidR="00ED673F" w:rsidRPr="00ED673F" w14:paraId="4876805F" w14:textId="77777777" w:rsidTr="00ED673F">
        <w:trPr>
          <w:trHeight w:val="496"/>
        </w:trPr>
        <w:tc>
          <w:tcPr>
            <w:tcW w:w="2654" w:type="dxa"/>
            <w:tcBorders>
              <w:top w:val="nil"/>
              <w:left w:val="nil"/>
              <w:bottom w:val="single" w:sz="4" w:space="0" w:color="auto"/>
              <w:right w:val="nil"/>
            </w:tcBorders>
            <w:shd w:val="clear" w:color="auto" w:fill="008080"/>
            <w:vAlign w:val="center"/>
          </w:tcPr>
          <w:p w14:paraId="3A2FDDC7" w14:textId="77777777" w:rsidR="00ED673F" w:rsidRPr="00ED673F" w:rsidRDefault="00ED673F" w:rsidP="00ED673F">
            <w:pPr>
              <w:jc w:val="center"/>
              <w:rPr>
                <w:b/>
                <w:bCs/>
                <w:color w:val="FFFFFF"/>
              </w:rPr>
            </w:pPr>
            <w:r w:rsidRPr="00ED673F">
              <w:rPr>
                <w:b/>
                <w:bCs/>
                <w:color w:val="FFFFFF"/>
              </w:rPr>
              <w:lastRenderedPageBreak/>
              <w:t>Financial principles</w:t>
            </w:r>
          </w:p>
        </w:tc>
        <w:tc>
          <w:tcPr>
            <w:tcW w:w="436" w:type="dxa"/>
            <w:tcBorders>
              <w:top w:val="nil"/>
              <w:left w:val="nil"/>
              <w:bottom w:val="single" w:sz="4" w:space="0" w:color="auto"/>
              <w:right w:val="nil"/>
            </w:tcBorders>
            <w:shd w:val="clear" w:color="auto" w:fill="008080"/>
            <w:vAlign w:val="center"/>
          </w:tcPr>
          <w:p w14:paraId="595BE373" w14:textId="77777777" w:rsidR="00ED673F" w:rsidRPr="00ED673F" w:rsidRDefault="00ED673F" w:rsidP="00ED673F">
            <w:pPr>
              <w:jc w:val="center"/>
              <w:rPr>
                <w:b/>
                <w:bCs/>
                <w:color w:val="FFFFFF"/>
              </w:rPr>
            </w:pPr>
          </w:p>
        </w:tc>
        <w:tc>
          <w:tcPr>
            <w:tcW w:w="6139" w:type="dxa"/>
            <w:tcBorders>
              <w:top w:val="nil"/>
              <w:left w:val="nil"/>
              <w:bottom w:val="single" w:sz="4" w:space="0" w:color="auto"/>
              <w:right w:val="nil"/>
            </w:tcBorders>
            <w:shd w:val="clear" w:color="auto" w:fill="008080"/>
            <w:vAlign w:val="center"/>
          </w:tcPr>
          <w:p w14:paraId="3531898C" w14:textId="77777777" w:rsidR="00ED673F" w:rsidRPr="00ED673F" w:rsidRDefault="00ED673F" w:rsidP="00ED673F">
            <w:pPr>
              <w:jc w:val="center"/>
              <w:rPr>
                <w:b/>
                <w:bCs/>
                <w:color w:val="FFFFFF"/>
              </w:rPr>
            </w:pPr>
            <w:r w:rsidRPr="00ED673F">
              <w:rPr>
                <w:b/>
                <w:bCs/>
                <w:color w:val="FFFFFF"/>
              </w:rPr>
              <w:t>Measures</w:t>
            </w:r>
          </w:p>
        </w:tc>
      </w:tr>
      <w:tr w:rsidR="00ED673F" w:rsidRPr="00ED673F" w14:paraId="1882741E" w14:textId="77777777" w:rsidTr="00ED673F">
        <w:trPr>
          <w:trHeight w:val="753"/>
        </w:trPr>
        <w:tc>
          <w:tcPr>
            <w:tcW w:w="2654" w:type="dxa"/>
            <w:vMerge w:val="restart"/>
            <w:tcBorders>
              <w:top w:val="single" w:sz="4" w:space="0" w:color="auto"/>
              <w:left w:val="nil"/>
              <w:bottom w:val="single" w:sz="4" w:space="0" w:color="000000"/>
              <w:right w:val="nil"/>
            </w:tcBorders>
            <w:shd w:val="clear" w:color="auto" w:fill="auto"/>
          </w:tcPr>
          <w:p w14:paraId="0527A56A" w14:textId="77777777" w:rsidR="00ED673F" w:rsidRPr="00ED673F" w:rsidRDefault="00ED673F" w:rsidP="00ED673F">
            <w:r w:rsidRPr="00ED673F">
              <w:t>2. CoPP will have an ongoing sustainable and balanced budget and ideally a small cash surplus.</w:t>
            </w:r>
          </w:p>
        </w:tc>
        <w:tc>
          <w:tcPr>
            <w:tcW w:w="436" w:type="dxa"/>
            <w:tcBorders>
              <w:top w:val="single" w:sz="4" w:space="0" w:color="auto"/>
              <w:left w:val="nil"/>
              <w:bottom w:val="nil"/>
              <w:right w:val="nil"/>
            </w:tcBorders>
            <w:shd w:val="clear" w:color="auto" w:fill="auto"/>
          </w:tcPr>
          <w:p w14:paraId="5D01925F" w14:textId="77777777" w:rsidR="00ED673F" w:rsidRPr="00ED673F" w:rsidRDefault="00ED673F" w:rsidP="00ED673F">
            <w:pPr>
              <w:jc w:val="center"/>
            </w:pPr>
            <w:r w:rsidRPr="00ED673F">
              <w:t>9</w:t>
            </w:r>
          </w:p>
        </w:tc>
        <w:tc>
          <w:tcPr>
            <w:tcW w:w="6139" w:type="dxa"/>
            <w:tcBorders>
              <w:top w:val="single" w:sz="4" w:space="0" w:color="auto"/>
              <w:left w:val="nil"/>
              <w:bottom w:val="nil"/>
              <w:right w:val="nil"/>
            </w:tcBorders>
            <w:shd w:val="clear" w:color="auto" w:fill="auto"/>
          </w:tcPr>
          <w:p w14:paraId="20592F90" w14:textId="77777777" w:rsidR="00ED673F" w:rsidRPr="00ED673F" w:rsidRDefault="00ED673F" w:rsidP="00ED673F">
            <w:r w:rsidRPr="00ED673F">
              <w:t>Expenditure on operating activities will be in line with or lower than income from operating activities, producing a surplus.  Any surplus achieved will be used to repay debt or carried over to subsequent years.</w:t>
            </w:r>
          </w:p>
        </w:tc>
      </w:tr>
      <w:tr w:rsidR="00ED673F" w:rsidRPr="00ED673F" w14:paraId="03E40E56" w14:textId="77777777" w:rsidTr="00ED673F">
        <w:trPr>
          <w:trHeight w:val="784"/>
        </w:trPr>
        <w:tc>
          <w:tcPr>
            <w:tcW w:w="2654" w:type="dxa"/>
            <w:vMerge/>
            <w:tcBorders>
              <w:top w:val="nil"/>
              <w:left w:val="nil"/>
              <w:bottom w:val="single" w:sz="4" w:space="0" w:color="000000"/>
              <w:right w:val="nil"/>
            </w:tcBorders>
            <w:vAlign w:val="center"/>
          </w:tcPr>
          <w:p w14:paraId="5FAD5D57" w14:textId="77777777" w:rsidR="00ED673F" w:rsidRPr="00ED673F" w:rsidRDefault="00ED673F" w:rsidP="00ED673F"/>
        </w:tc>
        <w:tc>
          <w:tcPr>
            <w:tcW w:w="436" w:type="dxa"/>
            <w:tcBorders>
              <w:top w:val="nil"/>
              <w:left w:val="nil"/>
              <w:bottom w:val="nil"/>
              <w:right w:val="nil"/>
            </w:tcBorders>
            <w:shd w:val="clear" w:color="auto" w:fill="auto"/>
          </w:tcPr>
          <w:p w14:paraId="18E2C686" w14:textId="77777777" w:rsidR="00ED673F" w:rsidRPr="00ED673F" w:rsidRDefault="00ED673F" w:rsidP="00ED673F">
            <w:pPr>
              <w:jc w:val="center"/>
            </w:pPr>
            <w:r w:rsidRPr="00ED673F">
              <w:t>10</w:t>
            </w:r>
          </w:p>
        </w:tc>
        <w:tc>
          <w:tcPr>
            <w:tcW w:w="6139" w:type="dxa"/>
            <w:tcBorders>
              <w:top w:val="nil"/>
              <w:left w:val="nil"/>
              <w:bottom w:val="nil"/>
              <w:right w:val="nil"/>
            </w:tcBorders>
            <w:shd w:val="clear" w:color="auto" w:fill="auto"/>
          </w:tcPr>
          <w:p w14:paraId="4EE6B614" w14:textId="77777777" w:rsidR="00ED673F" w:rsidRPr="00ED673F" w:rsidRDefault="00ED673F" w:rsidP="00ED673F">
            <w:r w:rsidRPr="00ED673F">
              <w:t>Net cash outflow from operational activities, capital activities and financing activities will be in line with or lower than cash inflow from operational activities, producing a cash surplus.  A positive cash surplus balance any budgeted year is targeted.</w:t>
            </w:r>
          </w:p>
        </w:tc>
      </w:tr>
      <w:tr w:rsidR="00ED673F" w:rsidRPr="00ED673F" w14:paraId="0581B522" w14:textId="77777777" w:rsidTr="00ED673F">
        <w:trPr>
          <w:trHeight w:val="754"/>
        </w:trPr>
        <w:tc>
          <w:tcPr>
            <w:tcW w:w="2654" w:type="dxa"/>
            <w:vMerge/>
            <w:tcBorders>
              <w:top w:val="nil"/>
              <w:left w:val="nil"/>
              <w:bottom w:val="single" w:sz="4" w:space="0" w:color="auto"/>
              <w:right w:val="nil"/>
            </w:tcBorders>
            <w:vAlign w:val="center"/>
          </w:tcPr>
          <w:p w14:paraId="5F06B063" w14:textId="77777777" w:rsidR="00ED673F" w:rsidRPr="00ED673F" w:rsidRDefault="00ED673F" w:rsidP="00ED673F"/>
        </w:tc>
        <w:tc>
          <w:tcPr>
            <w:tcW w:w="436" w:type="dxa"/>
            <w:tcBorders>
              <w:top w:val="nil"/>
              <w:left w:val="nil"/>
              <w:bottom w:val="single" w:sz="4" w:space="0" w:color="auto"/>
              <w:right w:val="nil"/>
            </w:tcBorders>
            <w:shd w:val="clear" w:color="auto" w:fill="auto"/>
          </w:tcPr>
          <w:p w14:paraId="1EA9BA2E" w14:textId="77777777" w:rsidR="00ED673F" w:rsidRPr="00ED673F" w:rsidRDefault="00ED673F" w:rsidP="00ED673F">
            <w:pPr>
              <w:jc w:val="center"/>
            </w:pPr>
            <w:r w:rsidRPr="00ED673F">
              <w:t>11</w:t>
            </w:r>
          </w:p>
        </w:tc>
        <w:tc>
          <w:tcPr>
            <w:tcW w:w="6139" w:type="dxa"/>
            <w:tcBorders>
              <w:top w:val="nil"/>
              <w:left w:val="nil"/>
              <w:bottom w:val="single" w:sz="4" w:space="0" w:color="auto"/>
              <w:right w:val="nil"/>
            </w:tcBorders>
            <w:shd w:val="clear" w:color="auto" w:fill="auto"/>
          </w:tcPr>
          <w:p w14:paraId="705845FC" w14:textId="77777777" w:rsidR="00ED673F" w:rsidRPr="00ED673F" w:rsidRDefault="00ED673F" w:rsidP="00ED673F">
            <w:r w:rsidRPr="00ED673F">
              <w:t>Net cash flow from operations is to generate sufficient cash to fund capital works over the long term. Internal financing ratio to be greater than 100%.</w:t>
            </w:r>
          </w:p>
        </w:tc>
      </w:tr>
      <w:tr w:rsidR="00ED673F" w:rsidRPr="00ED673F" w14:paraId="6A1589EF" w14:textId="77777777" w:rsidTr="00ED673F">
        <w:trPr>
          <w:trHeight w:val="439"/>
        </w:trPr>
        <w:tc>
          <w:tcPr>
            <w:tcW w:w="2654" w:type="dxa"/>
            <w:vMerge w:val="restart"/>
            <w:tcBorders>
              <w:top w:val="single" w:sz="4" w:space="0" w:color="auto"/>
              <w:left w:val="nil"/>
              <w:bottom w:val="single" w:sz="4" w:space="0" w:color="000000"/>
              <w:right w:val="nil"/>
            </w:tcBorders>
            <w:shd w:val="clear" w:color="auto" w:fill="auto"/>
          </w:tcPr>
          <w:p w14:paraId="5C0E9212" w14:textId="77777777" w:rsidR="00ED673F" w:rsidRPr="00ED673F" w:rsidRDefault="00ED673F" w:rsidP="00ED673F">
            <w:r w:rsidRPr="00ED673F">
              <w:t>3. The CoPP asset base will be maintained, enhanced and expanded.</w:t>
            </w:r>
          </w:p>
        </w:tc>
        <w:tc>
          <w:tcPr>
            <w:tcW w:w="436" w:type="dxa"/>
            <w:tcBorders>
              <w:top w:val="single" w:sz="4" w:space="0" w:color="auto"/>
              <w:left w:val="nil"/>
              <w:bottom w:val="nil"/>
              <w:right w:val="nil"/>
            </w:tcBorders>
            <w:shd w:val="clear" w:color="auto" w:fill="auto"/>
          </w:tcPr>
          <w:p w14:paraId="3606A9A3" w14:textId="77777777" w:rsidR="00ED673F" w:rsidRPr="00ED673F" w:rsidRDefault="00ED673F" w:rsidP="00ED673F">
            <w:pPr>
              <w:jc w:val="center"/>
            </w:pPr>
            <w:r w:rsidRPr="00ED673F">
              <w:t>12</w:t>
            </w:r>
          </w:p>
        </w:tc>
        <w:tc>
          <w:tcPr>
            <w:tcW w:w="6139" w:type="dxa"/>
            <w:tcBorders>
              <w:top w:val="single" w:sz="4" w:space="0" w:color="auto"/>
              <w:left w:val="nil"/>
              <w:bottom w:val="nil"/>
              <w:right w:val="nil"/>
            </w:tcBorders>
            <w:shd w:val="clear" w:color="auto" w:fill="auto"/>
          </w:tcPr>
          <w:p w14:paraId="38A697AD" w14:textId="77777777" w:rsidR="00ED673F" w:rsidRPr="00ED673F" w:rsidRDefault="00ED673F" w:rsidP="00ED673F">
            <w:r w:rsidRPr="00ED673F">
              <w:t xml:space="preserve">The total pool of assets will increase in value each year – excluding the effect of any revaluation adjustments and sale of assets of lower strategic value.  </w:t>
            </w:r>
          </w:p>
        </w:tc>
      </w:tr>
      <w:tr w:rsidR="00ED673F" w:rsidRPr="00ED673F" w14:paraId="48E06F6A" w14:textId="77777777" w:rsidTr="00ED673F">
        <w:trPr>
          <w:trHeight w:val="439"/>
        </w:trPr>
        <w:tc>
          <w:tcPr>
            <w:tcW w:w="2654" w:type="dxa"/>
            <w:vMerge/>
            <w:tcBorders>
              <w:top w:val="single" w:sz="4" w:space="0" w:color="auto"/>
              <w:left w:val="nil"/>
              <w:bottom w:val="single" w:sz="4" w:space="0" w:color="000000"/>
              <w:right w:val="nil"/>
            </w:tcBorders>
            <w:shd w:val="clear" w:color="auto" w:fill="auto"/>
          </w:tcPr>
          <w:p w14:paraId="5759779B" w14:textId="77777777" w:rsidR="00ED673F" w:rsidRPr="00ED673F" w:rsidRDefault="00ED673F" w:rsidP="00ED673F"/>
        </w:tc>
        <w:tc>
          <w:tcPr>
            <w:tcW w:w="436" w:type="dxa"/>
            <w:tcBorders>
              <w:top w:val="single" w:sz="4" w:space="0" w:color="auto"/>
              <w:left w:val="nil"/>
              <w:bottom w:val="nil"/>
              <w:right w:val="nil"/>
            </w:tcBorders>
            <w:shd w:val="clear" w:color="auto" w:fill="auto"/>
          </w:tcPr>
          <w:p w14:paraId="1E4E50B9" w14:textId="77777777" w:rsidR="00ED673F" w:rsidRPr="00ED673F" w:rsidRDefault="00ED673F" w:rsidP="00ED673F">
            <w:pPr>
              <w:jc w:val="center"/>
            </w:pPr>
            <w:r w:rsidRPr="00ED673F">
              <w:t>13</w:t>
            </w:r>
          </w:p>
        </w:tc>
        <w:tc>
          <w:tcPr>
            <w:tcW w:w="6139" w:type="dxa"/>
            <w:tcBorders>
              <w:top w:val="single" w:sz="4" w:space="0" w:color="auto"/>
              <w:left w:val="nil"/>
              <w:bottom w:val="nil"/>
              <w:right w:val="nil"/>
            </w:tcBorders>
            <w:shd w:val="clear" w:color="auto" w:fill="auto"/>
          </w:tcPr>
          <w:p w14:paraId="3D7B93C3" w14:textId="77777777" w:rsidR="00ED673F" w:rsidRPr="00ED673F" w:rsidRDefault="00ED673F" w:rsidP="00ED673F">
            <w:r w:rsidRPr="00ED673F">
              <w:t>Capital Expenditure compared to depreciation is to be greater or equal to 150% over a medium to long term planning horizon.</w:t>
            </w:r>
          </w:p>
        </w:tc>
      </w:tr>
      <w:tr w:rsidR="00ED673F" w:rsidRPr="00ED673F" w14:paraId="41396646" w14:textId="77777777" w:rsidTr="00ED673F">
        <w:trPr>
          <w:trHeight w:val="519"/>
        </w:trPr>
        <w:tc>
          <w:tcPr>
            <w:tcW w:w="2654" w:type="dxa"/>
            <w:vMerge/>
            <w:tcBorders>
              <w:top w:val="single" w:sz="4" w:space="0" w:color="000000"/>
              <w:left w:val="nil"/>
              <w:bottom w:val="single" w:sz="4" w:space="0" w:color="000000"/>
              <w:right w:val="nil"/>
            </w:tcBorders>
            <w:vAlign w:val="center"/>
          </w:tcPr>
          <w:p w14:paraId="651F0B99" w14:textId="77777777" w:rsidR="00ED673F" w:rsidRPr="00ED673F" w:rsidRDefault="00ED673F" w:rsidP="00ED673F"/>
        </w:tc>
        <w:tc>
          <w:tcPr>
            <w:tcW w:w="436" w:type="dxa"/>
            <w:tcBorders>
              <w:top w:val="nil"/>
              <w:left w:val="nil"/>
              <w:right w:val="nil"/>
            </w:tcBorders>
            <w:shd w:val="clear" w:color="auto" w:fill="auto"/>
          </w:tcPr>
          <w:p w14:paraId="730CE178" w14:textId="77777777" w:rsidR="00ED673F" w:rsidRPr="00ED673F" w:rsidRDefault="00ED673F" w:rsidP="00ED673F">
            <w:pPr>
              <w:jc w:val="center"/>
            </w:pPr>
            <w:r w:rsidRPr="00ED673F">
              <w:t>14</w:t>
            </w:r>
          </w:p>
        </w:tc>
        <w:tc>
          <w:tcPr>
            <w:tcW w:w="6139" w:type="dxa"/>
            <w:tcBorders>
              <w:top w:val="nil"/>
              <w:left w:val="nil"/>
              <w:right w:val="nil"/>
            </w:tcBorders>
            <w:shd w:val="clear" w:color="auto" w:fill="auto"/>
          </w:tcPr>
          <w:p w14:paraId="5032A038" w14:textId="77777777" w:rsidR="00ED673F" w:rsidRPr="00ED673F" w:rsidRDefault="00ED673F" w:rsidP="00ED673F">
            <w:r w:rsidRPr="00ED673F">
              <w:t>Assets will be managed in accordance with community need, optimum utilisation and long-term efficiency.</w:t>
            </w:r>
          </w:p>
        </w:tc>
      </w:tr>
      <w:tr w:rsidR="00ED673F" w:rsidRPr="00ED673F" w14:paraId="0649F7ED" w14:textId="77777777" w:rsidTr="00ED673F">
        <w:trPr>
          <w:trHeight w:val="485"/>
        </w:trPr>
        <w:tc>
          <w:tcPr>
            <w:tcW w:w="2654" w:type="dxa"/>
            <w:vMerge/>
            <w:tcBorders>
              <w:top w:val="single" w:sz="4" w:space="0" w:color="000000"/>
              <w:left w:val="nil"/>
              <w:bottom w:val="single" w:sz="4" w:space="0" w:color="000000"/>
              <w:right w:val="nil"/>
            </w:tcBorders>
            <w:vAlign w:val="center"/>
          </w:tcPr>
          <w:p w14:paraId="521574C7" w14:textId="77777777" w:rsidR="00ED673F" w:rsidRPr="00ED673F" w:rsidRDefault="00ED673F" w:rsidP="00ED673F"/>
        </w:tc>
        <w:tc>
          <w:tcPr>
            <w:tcW w:w="436" w:type="dxa"/>
            <w:tcBorders>
              <w:top w:val="nil"/>
              <w:left w:val="nil"/>
              <w:bottom w:val="single" w:sz="4" w:space="0" w:color="auto"/>
              <w:right w:val="nil"/>
            </w:tcBorders>
            <w:shd w:val="clear" w:color="auto" w:fill="auto"/>
          </w:tcPr>
          <w:p w14:paraId="1C2DDEF8" w14:textId="77777777" w:rsidR="00ED673F" w:rsidRPr="00ED673F" w:rsidRDefault="00ED673F" w:rsidP="00ED673F">
            <w:pPr>
              <w:jc w:val="center"/>
            </w:pPr>
            <w:r w:rsidRPr="00ED673F">
              <w:t>15</w:t>
            </w:r>
          </w:p>
        </w:tc>
        <w:tc>
          <w:tcPr>
            <w:tcW w:w="6139" w:type="dxa"/>
            <w:tcBorders>
              <w:top w:val="nil"/>
              <w:left w:val="nil"/>
              <w:bottom w:val="single" w:sz="4" w:space="0" w:color="auto"/>
              <w:right w:val="nil"/>
            </w:tcBorders>
            <w:shd w:val="clear" w:color="auto" w:fill="auto"/>
          </w:tcPr>
          <w:p w14:paraId="26CFA06B" w14:textId="77777777" w:rsidR="00ED673F" w:rsidRPr="00ED673F" w:rsidRDefault="00ED673F" w:rsidP="00ED673F">
            <w:r w:rsidRPr="00ED673F">
              <w:t xml:space="preserve">Capital expenditure on existing assets (asset renewals and upgrades) will be higher than depreciation over a medium to long term planning horizon. </w:t>
            </w:r>
          </w:p>
        </w:tc>
      </w:tr>
      <w:tr w:rsidR="00ED673F" w:rsidRPr="00ED673F" w14:paraId="111E9A27" w14:textId="77777777" w:rsidTr="00ED673F">
        <w:trPr>
          <w:trHeight w:val="343"/>
        </w:trPr>
        <w:tc>
          <w:tcPr>
            <w:tcW w:w="2654" w:type="dxa"/>
            <w:vMerge w:val="restart"/>
            <w:tcBorders>
              <w:top w:val="single" w:sz="4" w:space="0" w:color="000000"/>
              <w:left w:val="nil"/>
              <w:bottom w:val="single" w:sz="4" w:space="0" w:color="000000"/>
              <w:right w:val="nil"/>
            </w:tcBorders>
            <w:shd w:val="clear" w:color="auto" w:fill="auto"/>
          </w:tcPr>
          <w:p w14:paraId="5EB8E469" w14:textId="77777777" w:rsidR="00ED673F" w:rsidRPr="00ED673F" w:rsidRDefault="00ED673F" w:rsidP="00ED673F">
            <w:r w:rsidRPr="00ED673F">
              <w:t>4. Capital will be managed in the most efficient manner possible.</w:t>
            </w:r>
          </w:p>
        </w:tc>
        <w:tc>
          <w:tcPr>
            <w:tcW w:w="436" w:type="dxa"/>
            <w:tcBorders>
              <w:top w:val="single" w:sz="4" w:space="0" w:color="auto"/>
              <w:left w:val="nil"/>
              <w:right w:val="nil"/>
            </w:tcBorders>
            <w:shd w:val="clear" w:color="auto" w:fill="auto"/>
          </w:tcPr>
          <w:p w14:paraId="761F7B84" w14:textId="77777777" w:rsidR="00ED673F" w:rsidRPr="00ED673F" w:rsidRDefault="00ED673F" w:rsidP="00ED673F">
            <w:pPr>
              <w:jc w:val="center"/>
            </w:pPr>
            <w:r w:rsidRPr="00ED673F">
              <w:t>16</w:t>
            </w:r>
          </w:p>
        </w:tc>
        <w:tc>
          <w:tcPr>
            <w:tcW w:w="6139" w:type="dxa"/>
            <w:tcBorders>
              <w:top w:val="single" w:sz="4" w:space="0" w:color="auto"/>
              <w:left w:val="nil"/>
              <w:right w:val="nil"/>
            </w:tcBorders>
            <w:shd w:val="clear" w:color="auto" w:fill="auto"/>
          </w:tcPr>
          <w:p w14:paraId="30D25BF5" w14:textId="77777777" w:rsidR="00ED673F" w:rsidRPr="00ED673F" w:rsidRDefault="00ED673F" w:rsidP="00ED673F">
            <w:r w:rsidRPr="00ED673F">
              <w:t>General reserves will be maintained at levels sufficient to ensure operational liquidity.  Working Capital Liquidity Ratio (current assets compared to current liabilities) is to be at least 100%.</w:t>
            </w:r>
          </w:p>
        </w:tc>
      </w:tr>
      <w:tr w:rsidR="00ED673F" w:rsidRPr="00ED673F" w14:paraId="1BE4C600" w14:textId="77777777" w:rsidTr="00ED673F">
        <w:trPr>
          <w:trHeight w:val="343"/>
        </w:trPr>
        <w:tc>
          <w:tcPr>
            <w:tcW w:w="2654" w:type="dxa"/>
            <w:vMerge/>
            <w:tcBorders>
              <w:top w:val="single" w:sz="4" w:space="0" w:color="000000"/>
              <w:left w:val="nil"/>
              <w:bottom w:val="single" w:sz="4" w:space="0" w:color="000000"/>
              <w:right w:val="nil"/>
            </w:tcBorders>
            <w:shd w:val="clear" w:color="auto" w:fill="auto"/>
          </w:tcPr>
          <w:p w14:paraId="5E0C7CF8" w14:textId="77777777" w:rsidR="00ED673F" w:rsidRPr="00ED673F" w:rsidRDefault="00ED673F" w:rsidP="00ED673F"/>
        </w:tc>
        <w:tc>
          <w:tcPr>
            <w:tcW w:w="436" w:type="dxa"/>
            <w:tcBorders>
              <w:left w:val="nil"/>
              <w:bottom w:val="nil"/>
              <w:right w:val="nil"/>
            </w:tcBorders>
            <w:shd w:val="clear" w:color="auto" w:fill="auto"/>
          </w:tcPr>
          <w:p w14:paraId="202315C8" w14:textId="77777777" w:rsidR="00ED673F" w:rsidRPr="00ED673F" w:rsidRDefault="00ED673F" w:rsidP="00ED673F">
            <w:pPr>
              <w:jc w:val="center"/>
            </w:pPr>
            <w:r w:rsidRPr="00ED673F">
              <w:t>17</w:t>
            </w:r>
          </w:p>
        </w:tc>
        <w:tc>
          <w:tcPr>
            <w:tcW w:w="6139" w:type="dxa"/>
            <w:tcBorders>
              <w:left w:val="nil"/>
              <w:bottom w:val="nil"/>
              <w:right w:val="nil"/>
            </w:tcBorders>
            <w:shd w:val="clear" w:color="auto" w:fill="auto"/>
          </w:tcPr>
          <w:p w14:paraId="7D074B68" w14:textId="77777777" w:rsidR="00ED673F" w:rsidRPr="00ED673F" w:rsidRDefault="00ED673F" w:rsidP="00ED673F">
            <w:r w:rsidRPr="00ED673F">
              <w:t>Council will consider new loans for strategic property acquisitions, funding community capital works projects that will provide inter-generational community benefit and work that deliver revenue streams to repay debt.</w:t>
            </w:r>
          </w:p>
        </w:tc>
      </w:tr>
      <w:tr w:rsidR="00ED673F" w:rsidRPr="00ED673F" w14:paraId="724511C2" w14:textId="77777777" w:rsidTr="00ED673F">
        <w:trPr>
          <w:trHeight w:val="701"/>
        </w:trPr>
        <w:tc>
          <w:tcPr>
            <w:tcW w:w="2654" w:type="dxa"/>
            <w:vMerge/>
            <w:tcBorders>
              <w:top w:val="single" w:sz="4" w:space="0" w:color="000000"/>
              <w:left w:val="nil"/>
              <w:bottom w:val="single" w:sz="4" w:space="0" w:color="000000"/>
              <w:right w:val="nil"/>
            </w:tcBorders>
            <w:vAlign w:val="center"/>
          </w:tcPr>
          <w:p w14:paraId="328CB329" w14:textId="77777777" w:rsidR="00ED673F" w:rsidRPr="00ED673F" w:rsidRDefault="00ED673F" w:rsidP="00ED673F"/>
        </w:tc>
        <w:tc>
          <w:tcPr>
            <w:tcW w:w="436" w:type="dxa"/>
            <w:tcBorders>
              <w:top w:val="nil"/>
              <w:left w:val="nil"/>
              <w:bottom w:val="single" w:sz="4" w:space="0" w:color="auto"/>
              <w:right w:val="nil"/>
            </w:tcBorders>
            <w:shd w:val="clear" w:color="auto" w:fill="auto"/>
          </w:tcPr>
          <w:p w14:paraId="5AC1F878" w14:textId="77777777" w:rsidR="00ED673F" w:rsidRPr="00ED673F" w:rsidRDefault="00ED673F" w:rsidP="00ED673F">
            <w:pPr>
              <w:jc w:val="center"/>
            </w:pPr>
            <w:r w:rsidRPr="00ED673F">
              <w:t>18</w:t>
            </w:r>
          </w:p>
        </w:tc>
        <w:tc>
          <w:tcPr>
            <w:tcW w:w="6139" w:type="dxa"/>
            <w:tcBorders>
              <w:top w:val="nil"/>
              <w:left w:val="nil"/>
              <w:bottom w:val="single" w:sz="4" w:space="0" w:color="auto"/>
              <w:right w:val="nil"/>
            </w:tcBorders>
            <w:shd w:val="clear" w:color="auto" w:fill="auto"/>
          </w:tcPr>
          <w:p w14:paraId="5E6605DC" w14:textId="77777777" w:rsidR="00ED673F" w:rsidRPr="00ED673F" w:rsidRDefault="00ED673F" w:rsidP="00ED673F">
            <w:r w:rsidRPr="00ED673F">
              <w:t>Prudent use of debt shall be subject to and achieving the following metrics;</w:t>
            </w:r>
          </w:p>
          <w:p w14:paraId="0AFBA2D7" w14:textId="77777777" w:rsidR="00ED673F" w:rsidRPr="00ED673F" w:rsidRDefault="00ED673F" w:rsidP="00912294">
            <w:pPr>
              <w:pStyle w:val="ListParagraph"/>
              <w:numPr>
                <w:ilvl w:val="0"/>
                <w:numId w:val="7"/>
              </w:numPr>
              <w:tabs>
                <w:tab w:val="clear" w:pos="-3060"/>
                <w:tab w:val="clear" w:pos="-2340"/>
                <w:tab w:val="clear" w:pos="6300"/>
              </w:tabs>
              <w:suppressAutoHyphens w:val="0"/>
              <w:spacing w:after="0"/>
            </w:pPr>
            <w:r w:rsidRPr="00ED673F">
              <w:t>Indebtedness ratio (Non-current liabilities compared to Own Source revenue) is to maintain below 40%.</w:t>
            </w:r>
          </w:p>
          <w:p w14:paraId="72A2C461" w14:textId="77777777" w:rsidR="00ED673F" w:rsidRPr="00ED673F" w:rsidRDefault="00ED673F" w:rsidP="00912294">
            <w:pPr>
              <w:pStyle w:val="ListParagraph"/>
              <w:numPr>
                <w:ilvl w:val="0"/>
                <w:numId w:val="7"/>
              </w:numPr>
              <w:tabs>
                <w:tab w:val="clear" w:pos="-3060"/>
                <w:tab w:val="clear" w:pos="-2340"/>
                <w:tab w:val="clear" w:pos="6300"/>
              </w:tabs>
              <w:suppressAutoHyphens w:val="0"/>
              <w:spacing w:after="0"/>
            </w:pPr>
            <w:r w:rsidRPr="00ED673F">
              <w:t>Loans &amp; Borrowings compared to rates is to maintain below 70%</w:t>
            </w:r>
          </w:p>
          <w:p w14:paraId="6954B8DE" w14:textId="77777777" w:rsidR="00ED673F" w:rsidRPr="00ED673F" w:rsidRDefault="00ED673F" w:rsidP="00912294">
            <w:pPr>
              <w:pStyle w:val="ListParagraph"/>
              <w:numPr>
                <w:ilvl w:val="0"/>
                <w:numId w:val="7"/>
              </w:numPr>
              <w:tabs>
                <w:tab w:val="clear" w:pos="-3060"/>
                <w:tab w:val="clear" w:pos="-2340"/>
                <w:tab w:val="clear" w:pos="6300"/>
              </w:tabs>
              <w:suppressAutoHyphens w:val="0"/>
              <w:spacing w:after="0"/>
            </w:pPr>
            <w:r w:rsidRPr="00ED673F">
              <w:t>Loans &amp; Borrowing repayments compared to rates is to maintain below 20%.</w:t>
            </w:r>
          </w:p>
        </w:tc>
      </w:tr>
      <w:tr w:rsidR="00ED673F" w:rsidRPr="00ED673F" w14:paraId="392CE3D8" w14:textId="77777777" w:rsidTr="00ED673F">
        <w:trPr>
          <w:trHeight w:val="696"/>
        </w:trPr>
        <w:tc>
          <w:tcPr>
            <w:tcW w:w="2654" w:type="dxa"/>
            <w:vMerge/>
            <w:tcBorders>
              <w:top w:val="single" w:sz="4" w:space="0" w:color="000000"/>
              <w:left w:val="nil"/>
              <w:bottom w:val="single" w:sz="4" w:space="0" w:color="000000"/>
              <w:right w:val="nil"/>
            </w:tcBorders>
            <w:vAlign w:val="center"/>
          </w:tcPr>
          <w:p w14:paraId="5EC73C01" w14:textId="77777777" w:rsidR="00ED673F" w:rsidRPr="00ED673F" w:rsidRDefault="00ED673F" w:rsidP="00ED673F"/>
        </w:tc>
        <w:tc>
          <w:tcPr>
            <w:tcW w:w="436" w:type="dxa"/>
            <w:tcBorders>
              <w:top w:val="single" w:sz="4" w:space="0" w:color="auto"/>
              <w:left w:val="nil"/>
              <w:bottom w:val="single" w:sz="4" w:space="0" w:color="auto"/>
              <w:right w:val="nil"/>
            </w:tcBorders>
            <w:shd w:val="clear" w:color="auto" w:fill="auto"/>
          </w:tcPr>
          <w:p w14:paraId="1C55EE5F" w14:textId="77777777" w:rsidR="00ED673F" w:rsidRPr="00ED673F" w:rsidRDefault="00ED673F" w:rsidP="00ED673F">
            <w:pPr>
              <w:jc w:val="center"/>
            </w:pPr>
            <w:r w:rsidRPr="00ED673F">
              <w:t>19</w:t>
            </w:r>
          </w:p>
        </w:tc>
        <w:tc>
          <w:tcPr>
            <w:tcW w:w="6139" w:type="dxa"/>
            <w:tcBorders>
              <w:top w:val="single" w:sz="4" w:space="0" w:color="auto"/>
              <w:left w:val="nil"/>
              <w:bottom w:val="single" w:sz="4" w:space="0" w:color="auto"/>
              <w:right w:val="nil"/>
            </w:tcBorders>
            <w:shd w:val="clear" w:color="auto" w:fill="auto"/>
          </w:tcPr>
          <w:p w14:paraId="27A67D97" w14:textId="77777777" w:rsidR="00ED673F" w:rsidRPr="00ED673F" w:rsidRDefault="00ED673F" w:rsidP="00ED673F">
            <w:r w:rsidRPr="00ED673F">
              <w:t>Reserves may be built up over time to enable Council to part fund periodic large capital expenditure items where this is considered more efficient than the use of debt.</w:t>
            </w:r>
          </w:p>
        </w:tc>
      </w:tr>
      <w:tr w:rsidR="00ED673F" w:rsidRPr="00ED673F" w14:paraId="6A187FC1" w14:textId="77777777" w:rsidTr="00ED673F">
        <w:trPr>
          <w:trHeight w:val="776"/>
        </w:trPr>
        <w:tc>
          <w:tcPr>
            <w:tcW w:w="2654" w:type="dxa"/>
            <w:tcBorders>
              <w:top w:val="single" w:sz="4" w:space="0" w:color="000000"/>
              <w:left w:val="nil"/>
              <w:right w:val="nil"/>
            </w:tcBorders>
            <w:shd w:val="clear" w:color="auto" w:fill="auto"/>
          </w:tcPr>
          <w:p w14:paraId="0A2DB515" w14:textId="77777777" w:rsidR="00ED673F" w:rsidRPr="00ED673F" w:rsidRDefault="00ED673F" w:rsidP="00ED673F">
            <w:r w:rsidRPr="00ED673F">
              <w:t>5. CoPP will proactively develop and lead an efficient and effective organisational culture.</w:t>
            </w:r>
          </w:p>
        </w:tc>
        <w:tc>
          <w:tcPr>
            <w:tcW w:w="436" w:type="dxa"/>
            <w:tcBorders>
              <w:top w:val="single" w:sz="4" w:space="0" w:color="auto"/>
              <w:left w:val="nil"/>
              <w:right w:val="nil"/>
            </w:tcBorders>
            <w:shd w:val="clear" w:color="auto" w:fill="auto"/>
          </w:tcPr>
          <w:p w14:paraId="1688916A" w14:textId="77777777" w:rsidR="00ED673F" w:rsidRPr="00ED673F" w:rsidRDefault="00ED673F" w:rsidP="00ED673F">
            <w:pPr>
              <w:jc w:val="center"/>
            </w:pPr>
            <w:r w:rsidRPr="00ED673F">
              <w:t>20</w:t>
            </w:r>
          </w:p>
        </w:tc>
        <w:tc>
          <w:tcPr>
            <w:tcW w:w="6139" w:type="dxa"/>
            <w:tcBorders>
              <w:top w:val="single" w:sz="4" w:space="0" w:color="auto"/>
              <w:left w:val="nil"/>
              <w:right w:val="nil"/>
            </w:tcBorders>
            <w:shd w:val="clear" w:color="auto" w:fill="auto"/>
          </w:tcPr>
          <w:p w14:paraId="103F5E7C" w14:textId="77777777" w:rsidR="00ED673F" w:rsidRPr="00ED673F" w:rsidRDefault="00ED673F" w:rsidP="00ED673F">
            <w:r w:rsidRPr="00ED673F">
              <w:t xml:space="preserve">In order to deliver better value to our growing community, Council will support the development of policy and practice in the workplace to increase organisational innovation, effectiveness and efficiency. </w:t>
            </w:r>
          </w:p>
        </w:tc>
      </w:tr>
      <w:tr w:rsidR="00ED673F" w:rsidRPr="00ED673F" w14:paraId="2AFFF2F8" w14:textId="77777777" w:rsidTr="00ED673F">
        <w:trPr>
          <w:trHeight w:val="776"/>
        </w:trPr>
        <w:tc>
          <w:tcPr>
            <w:tcW w:w="2654" w:type="dxa"/>
            <w:tcBorders>
              <w:left w:val="nil"/>
              <w:bottom w:val="single" w:sz="4" w:space="0" w:color="000000"/>
              <w:right w:val="nil"/>
            </w:tcBorders>
            <w:shd w:val="clear" w:color="auto" w:fill="auto"/>
          </w:tcPr>
          <w:p w14:paraId="48E9FE9B" w14:textId="77777777" w:rsidR="00ED673F" w:rsidRPr="00ED673F" w:rsidRDefault="00ED673F" w:rsidP="00ED673F"/>
        </w:tc>
        <w:tc>
          <w:tcPr>
            <w:tcW w:w="436" w:type="dxa"/>
            <w:tcBorders>
              <w:left w:val="nil"/>
              <w:bottom w:val="single" w:sz="4" w:space="0" w:color="auto"/>
              <w:right w:val="nil"/>
            </w:tcBorders>
            <w:shd w:val="clear" w:color="auto" w:fill="auto"/>
          </w:tcPr>
          <w:p w14:paraId="53D964F0" w14:textId="77777777" w:rsidR="00ED673F" w:rsidRPr="00ED673F" w:rsidRDefault="00ED673F" w:rsidP="00ED673F">
            <w:pPr>
              <w:jc w:val="center"/>
            </w:pPr>
            <w:r w:rsidRPr="00ED673F">
              <w:t>21</w:t>
            </w:r>
          </w:p>
        </w:tc>
        <w:tc>
          <w:tcPr>
            <w:tcW w:w="6139" w:type="dxa"/>
            <w:tcBorders>
              <w:left w:val="nil"/>
              <w:bottom w:val="single" w:sz="4" w:space="0" w:color="auto"/>
              <w:right w:val="nil"/>
            </w:tcBorders>
            <w:shd w:val="clear" w:color="auto" w:fill="auto"/>
          </w:tcPr>
          <w:p w14:paraId="560222DA" w14:textId="77777777" w:rsidR="00ED673F" w:rsidRPr="00ED673F" w:rsidRDefault="00ED673F" w:rsidP="00ED673F">
            <w:r w:rsidRPr="00ED673F">
              <w:t>The organisation will target delivery of productivity and efficiency savings of greater than 1% of operating expenditure less depreciation per annum.</w:t>
            </w:r>
          </w:p>
        </w:tc>
      </w:tr>
    </w:tbl>
    <w:p w14:paraId="3818CB8B" w14:textId="77777777" w:rsidR="00ED673F" w:rsidRPr="00ED673F" w:rsidRDefault="00ED673F" w:rsidP="00ED673F">
      <w:pPr>
        <w:ind w:left="-180"/>
        <w:jc w:val="both"/>
        <w:rPr>
          <w:highlight w:val="yellow"/>
        </w:rPr>
      </w:pPr>
    </w:p>
    <w:p w14:paraId="2A4556DC" w14:textId="77777777" w:rsidR="00ED673F" w:rsidRPr="00ED673F" w:rsidRDefault="00ED673F" w:rsidP="00ED673F">
      <w:pPr>
        <w:jc w:val="both"/>
        <w:rPr>
          <w:highlight w:val="cyan"/>
        </w:rPr>
      </w:pPr>
      <w:r w:rsidRPr="00ED673F">
        <w:t xml:space="preserve">In addition to the principles of sound financial management outlined above, Council is guided by a number of key strategies that guide its financial decision making. The principles behind these strategies are outlined below. </w:t>
      </w:r>
    </w:p>
    <w:p w14:paraId="4121F4B6" w14:textId="77777777" w:rsidR="00ED673F" w:rsidRPr="00ED673F" w:rsidRDefault="00ED673F" w:rsidP="00ED673F">
      <w:pPr>
        <w:rPr>
          <w:b/>
          <w:color w:val="948A54"/>
        </w:rPr>
      </w:pPr>
      <w:r w:rsidRPr="00ED673F">
        <w:rPr>
          <w:b/>
          <w:color w:val="948A54"/>
        </w:rPr>
        <w:t xml:space="preserve">2.1 Use of Rate Revenue </w:t>
      </w:r>
    </w:p>
    <w:p w14:paraId="4EB5CC33" w14:textId="77777777" w:rsidR="00ED673F" w:rsidRPr="00ED673F" w:rsidRDefault="00ED673F" w:rsidP="00ED673F">
      <w:pPr>
        <w:spacing w:after="60"/>
        <w:jc w:val="both"/>
      </w:pPr>
      <w:r w:rsidRPr="00ED673F">
        <w:t>Council’s main revenue source is assessment rates on properties in the municipality. Council’s rating strategy is supported by the following principles:</w:t>
      </w:r>
    </w:p>
    <w:p w14:paraId="2F679174"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Local government rates are levied in accordance with a ratepayer’s capacity to pay as measured by the Net Annual Value (NAV) of property owned within the municipality.  Rates levied are therefore directly proportional to the NAV of individual properties.  Other measures such as concessions, deferral of rate payments and other discounts to fees and charges will be applied by Council to address equity and access issues.</w:t>
      </w:r>
    </w:p>
    <w:p w14:paraId="3343C936"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Universal services are funded from the broadest forms of income; rates and parking revenue.</w:t>
      </w:r>
    </w:p>
    <w:p w14:paraId="4A8AEDB0"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Fees for subsidised services provided by Council in a market such as childcare and aged care will be based on a clearly articulated policy position. To achieve equitable outcomes, these services will be funded through a mix of user charges, government grants and rates.</w:t>
      </w:r>
    </w:p>
    <w:p w14:paraId="4ECD674E"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Specific individual regulatory services such as, but not limited to, animal licences, parking permits and planning permits will be funded, where possible, through user charges (some may be set by statute) and otherwise through rates.</w:t>
      </w:r>
    </w:p>
    <w:p w14:paraId="39010A88"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 xml:space="preserve">Special rates are levied against retail tenants in various shopping precincts and this rate income is then distributed to centralised trader associations to spend on the improvement of the shopping strip for the benefit of all traders. </w:t>
      </w:r>
    </w:p>
    <w:p w14:paraId="77FDCC29"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Council provides for rate concessions for recreational land and pensioners. The City of Port Phillip is one of few councils that provide a pensioner rate rebate in addition to the State Government pensioner rate rebate.</w:t>
      </w:r>
    </w:p>
    <w:p w14:paraId="5E8E290B"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240"/>
        <w:ind w:left="714" w:hanging="357"/>
      </w:pPr>
      <w:r w:rsidRPr="00ED673F">
        <w:t xml:space="preserve">Furthermore, self-funded retirees are entitled to request Council to defer their rates indefinitely at a discounted interest rate. Persons experiencing financial hardship may also, subject to application and financial assessment, access this benefit. </w:t>
      </w:r>
    </w:p>
    <w:p w14:paraId="0EC9776C" w14:textId="77777777" w:rsidR="00ED673F" w:rsidRPr="00ED673F" w:rsidRDefault="00ED673F" w:rsidP="00ED673F">
      <w:pPr>
        <w:rPr>
          <w:b/>
          <w:color w:val="948A54"/>
        </w:rPr>
      </w:pPr>
      <w:r w:rsidRPr="00ED673F">
        <w:rPr>
          <w:b/>
          <w:color w:val="948A54"/>
        </w:rPr>
        <w:t>2.2 Use of Borrowings</w:t>
      </w:r>
    </w:p>
    <w:p w14:paraId="61F71757" w14:textId="77777777" w:rsidR="00ED673F" w:rsidRPr="00ED673F" w:rsidRDefault="00ED673F" w:rsidP="00ED673F">
      <w:pPr>
        <w:spacing w:after="60"/>
      </w:pPr>
      <w:r w:rsidRPr="00ED673F">
        <w:t>Council’s borrowings strategy is supported by the following principles:</w:t>
      </w:r>
    </w:p>
    <w:p w14:paraId="5F474BC8"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Borrowings will not be used to fund ongoing operations.</w:t>
      </w:r>
    </w:p>
    <w:p w14:paraId="4D331611"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 prudent and fiscally responsible approach will be applied in considering any proposals for new debt to deliver Council objectives.</w:t>
      </w:r>
    </w:p>
    <w:p w14:paraId="3BE25EEC"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Where debt is increased, the servicing costs ideally need to be funded from future revenue streams or cost savings that can be expected from the investment of the funds raised.</w:t>
      </w:r>
    </w:p>
    <w:p w14:paraId="766047EB"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Borrowings are also appropriate for the purpose of funding large non-recurrent capital works projects that can be expected to provide benefits to future generations.</w:t>
      </w:r>
    </w:p>
    <w:p w14:paraId="66B3E773"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 xml:space="preserve">Debt will be managed as part of an efficient capital management policy and repaid when it is prudent to do so. </w:t>
      </w:r>
    </w:p>
    <w:p w14:paraId="1EC301F8" w14:textId="77777777" w:rsidR="00ED673F" w:rsidRPr="00ED673F" w:rsidRDefault="00ED673F" w:rsidP="00ED673F">
      <w:pPr>
        <w:spacing w:after="60"/>
        <w:jc w:val="both"/>
        <w:rPr>
          <w:highlight w:val="yellow"/>
        </w:rPr>
      </w:pPr>
    </w:p>
    <w:p w14:paraId="3A2F3CBE" w14:textId="77777777" w:rsidR="00ED673F" w:rsidRPr="00ED673F" w:rsidRDefault="00ED673F" w:rsidP="00ED673F">
      <w:pPr>
        <w:rPr>
          <w:b/>
          <w:color w:val="948A54"/>
        </w:rPr>
      </w:pPr>
      <w:r w:rsidRPr="00ED673F">
        <w:rPr>
          <w:b/>
          <w:color w:val="948A54"/>
        </w:rPr>
        <w:t>2.3 Infrastructure and Asset Management</w:t>
      </w:r>
    </w:p>
    <w:p w14:paraId="413A20F6" w14:textId="77777777" w:rsidR="00ED673F" w:rsidRPr="00ED673F" w:rsidRDefault="00ED673F" w:rsidP="00ED673F">
      <w:pPr>
        <w:spacing w:after="60"/>
      </w:pPr>
      <w:r w:rsidRPr="00ED673F">
        <w:t>Council’s infrastructure and asset management strategy is supported by the following principles:</w:t>
      </w:r>
    </w:p>
    <w:p w14:paraId="6E0F5255"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Council is committed to spending what is required to renew and enhance its asset base to ensure its ongoing fitness for use. The capital budget takes into account expected asset deterioration, increased asset utilisation (capacity requirements) and technology development.</w:t>
      </w:r>
    </w:p>
    <w:p w14:paraId="5CD68655"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Renewal of existing assets is generally funded from the depreciation expense that is provided each year. This needs to be applied to the different asset subsets (drainage, roads, buildings and land improvements) to ensure consistency across the entire network of assets that Council manages.</w:t>
      </w:r>
    </w:p>
    <w:p w14:paraId="2CEC43AC"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lastRenderedPageBreak/>
        <w:t>Maintenance of capital expenditure at levels that will replenish existing assets is a higher priority than debt reduction and investment in new assets, as asset funding shortfalls will transfer the liability to future generations.</w:t>
      </w:r>
    </w:p>
    <w:p w14:paraId="7EECDA53"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Asset acquisitions and capital works projects are funded from rate revenue, reserves, sales of existing assets, government grants or external borrowings.</w:t>
      </w:r>
    </w:p>
    <w:p w14:paraId="5F808EDF"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Council’s investment and asset management strategies, purchasing arrangements and other financial tools should encourage environmental responsibility.</w:t>
      </w:r>
    </w:p>
    <w:p w14:paraId="61F5F06E" w14:textId="77777777" w:rsidR="00ED673F" w:rsidRPr="00ED673F" w:rsidRDefault="00ED673F" w:rsidP="00ED673F">
      <w:pPr>
        <w:jc w:val="both"/>
      </w:pPr>
    </w:p>
    <w:p w14:paraId="3315899F" w14:textId="77777777" w:rsidR="00ED673F" w:rsidRPr="00ED673F" w:rsidRDefault="00ED673F" w:rsidP="00ED673F">
      <w:pPr>
        <w:rPr>
          <w:b/>
          <w:color w:val="948A54"/>
        </w:rPr>
      </w:pPr>
      <w:r w:rsidRPr="00ED673F">
        <w:rPr>
          <w:b/>
          <w:color w:val="948A54"/>
        </w:rPr>
        <w:t>2.4 Measuring Financial Sustainability – VAGO Financial Sustainability Indicators</w:t>
      </w:r>
    </w:p>
    <w:p w14:paraId="5C4D748C" w14:textId="77777777" w:rsidR="00ED673F" w:rsidRPr="00ED673F" w:rsidRDefault="00ED673F" w:rsidP="00ED673F">
      <w:r w:rsidRPr="00ED673F">
        <w:t>We use the Victorian Audit General Office (VAGO) financial indicators to measure our financial sustainability risk.  Our strategy is to ensure we achieve an overall low risk rating. The Outlook shows we expect to be financially sustainable with an overall low risk rating.  Refer to Section 7 for the performance over the 10 year outlook.</w:t>
      </w:r>
    </w:p>
    <w:p w14:paraId="227D0C42" w14:textId="540B948E" w:rsidR="00ED673F" w:rsidRPr="00ED673F" w:rsidRDefault="00ED673F" w:rsidP="00ED673F">
      <w:pPr>
        <w:spacing w:after="0"/>
        <w:rPr>
          <w:b/>
          <w:color w:val="948A54"/>
        </w:rPr>
      </w:pPr>
    </w:p>
    <w:p w14:paraId="1C429647" w14:textId="77777777" w:rsidR="00461C0A" w:rsidRDefault="00461C0A">
      <w:pPr>
        <w:tabs>
          <w:tab w:val="clear" w:pos="-3060"/>
          <w:tab w:val="clear" w:pos="-2340"/>
          <w:tab w:val="clear" w:pos="6300"/>
        </w:tabs>
        <w:suppressAutoHyphens w:val="0"/>
        <w:spacing w:after="160" w:line="259" w:lineRule="auto"/>
        <w:rPr>
          <w:b/>
          <w:color w:val="948A54"/>
        </w:rPr>
      </w:pPr>
      <w:r>
        <w:rPr>
          <w:b/>
          <w:color w:val="948A54"/>
        </w:rPr>
        <w:br w:type="page"/>
      </w:r>
    </w:p>
    <w:p w14:paraId="324BFAF2" w14:textId="3053DC99" w:rsidR="00ED673F" w:rsidRPr="00ED673F" w:rsidRDefault="00ED673F" w:rsidP="00ED673F">
      <w:pPr>
        <w:rPr>
          <w:b/>
          <w:color w:val="948A54"/>
        </w:rPr>
      </w:pPr>
      <w:r w:rsidRPr="00ED673F">
        <w:rPr>
          <w:b/>
          <w:color w:val="948A54"/>
        </w:rPr>
        <w:lastRenderedPageBreak/>
        <w:t>3. Financial Resource Planning Assumptions and Risks</w:t>
      </w:r>
    </w:p>
    <w:p w14:paraId="27E6EDE2" w14:textId="77777777" w:rsidR="00ED673F" w:rsidRPr="00ED673F" w:rsidRDefault="00ED673F" w:rsidP="00ED673F">
      <w:pPr>
        <w:rPr>
          <w:color w:val="948A54"/>
        </w:rPr>
      </w:pPr>
      <w:r w:rsidRPr="00ED673F">
        <w:rPr>
          <w:b/>
          <w:color w:val="948A54"/>
        </w:rPr>
        <w:t>3.1 Financial Assumptions</w:t>
      </w:r>
    </w:p>
    <w:p w14:paraId="6140B404" w14:textId="77777777" w:rsidR="00ED673F" w:rsidRPr="00ED673F" w:rsidRDefault="00ED673F" w:rsidP="00ED673F">
      <w:pPr>
        <w:jc w:val="both"/>
      </w:pPr>
      <w:r w:rsidRPr="00ED673F">
        <w:t>The Outlook is updated annually following a review of internal financial results and changes in the external environment. Following this, scenario analysis is performed to test key assumptions and to prepare a ten year forecast that best represents Council’s expected financial performance given those assumptions.</w:t>
      </w:r>
    </w:p>
    <w:p w14:paraId="0A46F125" w14:textId="4030C510" w:rsidR="00ED673F" w:rsidRPr="00ED673F" w:rsidRDefault="00ED673F" w:rsidP="00ED673F">
      <w:pPr>
        <w:jc w:val="both"/>
      </w:pPr>
      <w:r w:rsidRPr="00ED673F">
        <w:t xml:space="preserve">The financial information used for 2017/18 (the base year) is based on Council’s October 2017 forecast. The revenue and expenditure associated with growth has been separated from all other Council activities for the purposes of this Outlook. The assumptions associated with growth are included in the ‘Planning for growth’ </w:t>
      </w:r>
      <w:r w:rsidR="0002705F">
        <w:t>section</w:t>
      </w:r>
      <w:r w:rsidRPr="00ED673F">
        <w:t xml:space="preserve"> below.</w:t>
      </w:r>
    </w:p>
    <w:p w14:paraId="5E9DDD4D" w14:textId="77777777" w:rsidR="00ED673F" w:rsidRPr="00ED673F" w:rsidRDefault="00ED673F" w:rsidP="00ED673F">
      <w:pPr>
        <w:jc w:val="both"/>
      </w:pPr>
      <w:r w:rsidRPr="00ED673F">
        <w:t xml:space="preserve">A detailed explanation of planning assumptions is provided below. </w:t>
      </w:r>
    </w:p>
    <w:tbl>
      <w:tblPr>
        <w:tblW w:w="9688" w:type="dxa"/>
        <w:tblInd w:w="93" w:type="dxa"/>
        <w:tblLook w:val="0000" w:firstRow="0" w:lastRow="0" w:firstColumn="0" w:lastColumn="0" w:noHBand="0" w:noVBand="0"/>
      </w:tblPr>
      <w:tblGrid>
        <w:gridCol w:w="1661"/>
        <w:gridCol w:w="1526"/>
        <w:gridCol w:w="1528"/>
        <w:gridCol w:w="1528"/>
        <w:gridCol w:w="1528"/>
        <w:gridCol w:w="1917"/>
      </w:tblGrid>
      <w:tr w:rsidR="00ED673F" w:rsidRPr="00ED673F" w14:paraId="0A6B7E3C" w14:textId="77777777" w:rsidTr="00ED673F">
        <w:trPr>
          <w:trHeight w:val="496"/>
        </w:trPr>
        <w:tc>
          <w:tcPr>
            <w:tcW w:w="1661" w:type="dxa"/>
            <w:tcBorders>
              <w:top w:val="single" w:sz="4" w:space="0" w:color="auto"/>
              <w:left w:val="nil"/>
              <w:right w:val="nil"/>
            </w:tcBorders>
            <w:shd w:val="clear" w:color="auto" w:fill="008080"/>
            <w:vAlign w:val="center"/>
          </w:tcPr>
          <w:p w14:paraId="693FAA0A" w14:textId="77777777" w:rsidR="00ED673F" w:rsidRPr="00ED673F" w:rsidRDefault="00ED673F" w:rsidP="00ED673F">
            <w:pPr>
              <w:spacing w:before="40" w:after="40"/>
              <w:rPr>
                <w:b/>
                <w:bCs/>
                <w:color w:val="FFFFFF"/>
              </w:rPr>
            </w:pPr>
            <w:r w:rsidRPr="00ED673F">
              <w:rPr>
                <w:b/>
                <w:color w:val="FFFFFF"/>
              </w:rPr>
              <w:t>Assumption</w:t>
            </w:r>
          </w:p>
        </w:tc>
        <w:tc>
          <w:tcPr>
            <w:tcW w:w="8027" w:type="dxa"/>
            <w:gridSpan w:val="5"/>
            <w:tcBorders>
              <w:top w:val="single" w:sz="4" w:space="0" w:color="auto"/>
              <w:left w:val="nil"/>
              <w:right w:val="single" w:sz="4" w:space="0" w:color="auto"/>
            </w:tcBorders>
            <w:shd w:val="clear" w:color="auto" w:fill="008080"/>
            <w:vAlign w:val="center"/>
          </w:tcPr>
          <w:p w14:paraId="4A6B1E05" w14:textId="77777777" w:rsidR="00ED673F" w:rsidRPr="00ED673F" w:rsidRDefault="00ED673F" w:rsidP="00ED673F">
            <w:pPr>
              <w:spacing w:before="40" w:after="40"/>
              <w:rPr>
                <w:b/>
                <w:bCs/>
                <w:color w:val="FFFFFF"/>
              </w:rPr>
            </w:pPr>
            <w:r w:rsidRPr="00ED673F">
              <w:rPr>
                <w:b/>
                <w:bCs/>
                <w:color w:val="FFFFFF"/>
              </w:rPr>
              <w:t>Rationale</w:t>
            </w:r>
          </w:p>
        </w:tc>
      </w:tr>
      <w:tr w:rsidR="00ED673F" w:rsidRPr="00ED673F" w14:paraId="0AFF8886" w14:textId="77777777" w:rsidTr="00ED673F">
        <w:trPr>
          <w:trHeight w:val="387"/>
        </w:trPr>
        <w:tc>
          <w:tcPr>
            <w:tcW w:w="1661" w:type="dxa"/>
            <w:vMerge w:val="restart"/>
            <w:tcBorders>
              <w:top w:val="single" w:sz="4" w:space="0" w:color="auto"/>
              <w:left w:val="nil"/>
              <w:right w:val="nil"/>
            </w:tcBorders>
            <w:shd w:val="clear" w:color="auto" w:fill="auto"/>
          </w:tcPr>
          <w:p w14:paraId="58D68429" w14:textId="77777777" w:rsidR="00ED673F" w:rsidRPr="00ED673F" w:rsidRDefault="00ED673F" w:rsidP="00ED673F">
            <w:pPr>
              <w:spacing w:before="40" w:after="40"/>
            </w:pPr>
            <w:r w:rsidRPr="00ED673F">
              <w:t>Consumer Price Index (CPI)</w:t>
            </w:r>
          </w:p>
        </w:tc>
        <w:tc>
          <w:tcPr>
            <w:tcW w:w="1526" w:type="dxa"/>
            <w:tcBorders>
              <w:top w:val="single" w:sz="4" w:space="0" w:color="auto"/>
              <w:left w:val="nil"/>
              <w:bottom w:val="single" w:sz="4" w:space="0" w:color="auto"/>
              <w:right w:val="nil"/>
            </w:tcBorders>
            <w:shd w:val="clear" w:color="auto" w:fill="auto"/>
            <w:vAlign w:val="center"/>
          </w:tcPr>
          <w:p w14:paraId="3898F3DC" w14:textId="77777777" w:rsidR="00ED673F" w:rsidRPr="00ED673F" w:rsidRDefault="00ED673F" w:rsidP="00ED673F">
            <w:pPr>
              <w:spacing w:before="40" w:after="40"/>
              <w:jc w:val="center"/>
            </w:pPr>
            <w:r w:rsidRPr="00ED673F">
              <w:rPr>
                <w:b/>
              </w:rPr>
              <w:t>2018/19</w:t>
            </w:r>
          </w:p>
        </w:tc>
        <w:tc>
          <w:tcPr>
            <w:tcW w:w="1528" w:type="dxa"/>
            <w:tcBorders>
              <w:top w:val="single" w:sz="4" w:space="0" w:color="auto"/>
              <w:left w:val="nil"/>
              <w:bottom w:val="single" w:sz="4" w:space="0" w:color="auto"/>
              <w:right w:val="nil"/>
            </w:tcBorders>
            <w:shd w:val="clear" w:color="auto" w:fill="auto"/>
            <w:vAlign w:val="center"/>
          </w:tcPr>
          <w:p w14:paraId="5ED00607" w14:textId="77777777" w:rsidR="00ED673F" w:rsidRPr="00ED673F" w:rsidRDefault="00ED673F" w:rsidP="00ED673F">
            <w:pPr>
              <w:spacing w:before="40" w:after="40"/>
              <w:jc w:val="center"/>
            </w:pPr>
            <w:r w:rsidRPr="00ED673F">
              <w:rPr>
                <w:b/>
              </w:rPr>
              <w:t>2019/20</w:t>
            </w:r>
          </w:p>
        </w:tc>
        <w:tc>
          <w:tcPr>
            <w:tcW w:w="1528" w:type="dxa"/>
            <w:tcBorders>
              <w:top w:val="single" w:sz="4" w:space="0" w:color="auto"/>
              <w:left w:val="nil"/>
              <w:bottom w:val="single" w:sz="4" w:space="0" w:color="auto"/>
              <w:right w:val="nil"/>
            </w:tcBorders>
            <w:shd w:val="clear" w:color="auto" w:fill="auto"/>
            <w:vAlign w:val="center"/>
          </w:tcPr>
          <w:p w14:paraId="6D8422D7" w14:textId="77777777" w:rsidR="00ED673F" w:rsidRPr="00ED673F" w:rsidRDefault="00ED673F" w:rsidP="00ED673F">
            <w:pPr>
              <w:spacing w:before="40" w:after="40"/>
              <w:jc w:val="center"/>
            </w:pPr>
            <w:r w:rsidRPr="00ED673F">
              <w:rPr>
                <w:b/>
              </w:rPr>
              <w:t>2020/21</w:t>
            </w:r>
          </w:p>
        </w:tc>
        <w:tc>
          <w:tcPr>
            <w:tcW w:w="1528" w:type="dxa"/>
            <w:tcBorders>
              <w:top w:val="single" w:sz="4" w:space="0" w:color="auto"/>
              <w:left w:val="nil"/>
              <w:bottom w:val="single" w:sz="4" w:space="0" w:color="auto"/>
              <w:right w:val="single" w:sz="4" w:space="0" w:color="auto"/>
            </w:tcBorders>
            <w:shd w:val="clear" w:color="auto" w:fill="auto"/>
            <w:vAlign w:val="center"/>
          </w:tcPr>
          <w:p w14:paraId="01398C51" w14:textId="77777777" w:rsidR="00ED673F" w:rsidRPr="00ED673F" w:rsidRDefault="00ED673F" w:rsidP="00ED673F">
            <w:pPr>
              <w:spacing w:before="40" w:after="40"/>
              <w:jc w:val="center"/>
            </w:pPr>
            <w:r w:rsidRPr="00ED673F">
              <w:rPr>
                <w:b/>
              </w:rPr>
              <w:t xml:space="preserve">2021/22 </w:t>
            </w:r>
          </w:p>
        </w:tc>
        <w:tc>
          <w:tcPr>
            <w:tcW w:w="1917" w:type="dxa"/>
            <w:tcBorders>
              <w:top w:val="single" w:sz="4" w:space="0" w:color="auto"/>
              <w:left w:val="single" w:sz="4" w:space="0" w:color="auto"/>
              <w:bottom w:val="single" w:sz="4" w:space="0" w:color="auto"/>
              <w:right w:val="nil"/>
            </w:tcBorders>
          </w:tcPr>
          <w:p w14:paraId="17C8BCCB" w14:textId="77777777" w:rsidR="00ED673F" w:rsidRPr="00ED673F" w:rsidRDefault="00ED673F" w:rsidP="00ED673F">
            <w:pPr>
              <w:spacing w:before="40" w:after="40"/>
              <w:jc w:val="center"/>
              <w:rPr>
                <w:b/>
              </w:rPr>
            </w:pPr>
            <w:r w:rsidRPr="00ED673F">
              <w:rPr>
                <w:b/>
              </w:rPr>
              <w:t>2027/28</w:t>
            </w:r>
          </w:p>
        </w:tc>
      </w:tr>
      <w:tr w:rsidR="00ED673F" w:rsidRPr="00ED673F" w14:paraId="0B39AFC8" w14:textId="77777777" w:rsidTr="00ED673F">
        <w:trPr>
          <w:trHeight w:val="443"/>
        </w:trPr>
        <w:tc>
          <w:tcPr>
            <w:tcW w:w="1661" w:type="dxa"/>
            <w:vMerge/>
            <w:tcBorders>
              <w:left w:val="nil"/>
              <w:right w:val="nil"/>
            </w:tcBorders>
            <w:shd w:val="clear" w:color="auto" w:fill="auto"/>
            <w:vAlign w:val="center"/>
          </w:tcPr>
          <w:p w14:paraId="08253451" w14:textId="77777777" w:rsidR="00ED673F" w:rsidRPr="00ED673F" w:rsidRDefault="00ED673F" w:rsidP="00ED673F">
            <w:pPr>
              <w:spacing w:before="40" w:after="40"/>
            </w:pPr>
          </w:p>
        </w:tc>
        <w:tc>
          <w:tcPr>
            <w:tcW w:w="1526" w:type="dxa"/>
            <w:tcBorders>
              <w:top w:val="nil"/>
              <w:left w:val="nil"/>
              <w:bottom w:val="single" w:sz="4" w:space="0" w:color="auto"/>
              <w:right w:val="nil"/>
            </w:tcBorders>
            <w:shd w:val="clear" w:color="auto" w:fill="auto"/>
            <w:vAlign w:val="center"/>
          </w:tcPr>
          <w:p w14:paraId="1654C907" w14:textId="77777777" w:rsidR="00ED673F" w:rsidRPr="00ED673F" w:rsidRDefault="00ED673F" w:rsidP="00ED673F">
            <w:pPr>
              <w:spacing w:before="40" w:after="40"/>
              <w:jc w:val="center"/>
            </w:pPr>
            <w:r w:rsidRPr="00ED673F">
              <w:t>2.08%</w:t>
            </w:r>
          </w:p>
        </w:tc>
        <w:tc>
          <w:tcPr>
            <w:tcW w:w="1528" w:type="dxa"/>
            <w:tcBorders>
              <w:top w:val="nil"/>
              <w:left w:val="nil"/>
              <w:bottom w:val="single" w:sz="4" w:space="0" w:color="auto"/>
              <w:right w:val="nil"/>
            </w:tcBorders>
            <w:shd w:val="clear" w:color="auto" w:fill="auto"/>
            <w:vAlign w:val="center"/>
          </w:tcPr>
          <w:p w14:paraId="4DB0D936" w14:textId="77777777" w:rsidR="00ED673F" w:rsidRPr="00ED673F" w:rsidRDefault="00ED673F" w:rsidP="00ED673F">
            <w:pPr>
              <w:spacing w:before="40" w:after="40"/>
              <w:jc w:val="center"/>
            </w:pPr>
            <w:r w:rsidRPr="00ED673F">
              <w:t>2.14%</w:t>
            </w:r>
          </w:p>
        </w:tc>
        <w:tc>
          <w:tcPr>
            <w:tcW w:w="1528" w:type="dxa"/>
            <w:tcBorders>
              <w:top w:val="nil"/>
              <w:left w:val="nil"/>
              <w:bottom w:val="single" w:sz="4" w:space="0" w:color="auto"/>
              <w:right w:val="nil"/>
            </w:tcBorders>
            <w:shd w:val="clear" w:color="auto" w:fill="auto"/>
            <w:vAlign w:val="center"/>
          </w:tcPr>
          <w:p w14:paraId="1489CFA3" w14:textId="77777777" w:rsidR="00ED673F" w:rsidRPr="00ED673F" w:rsidRDefault="00ED673F" w:rsidP="00ED673F">
            <w:pPr>
              <w:spacing w:before="40" w:after="40"/>
              <w:jc w:val="center"/>
            </w:pPr>
            <w:r w:rsidRPr="00ED673F">
              <w:t>2.41%</w:t>
            </w:r>
          </w:p>
        </w:tc>
        <w:tc>
          <w:tcPr>
            <w:tcW w:w="1528" w:type="dxa"/>
            <w:tcBorders>
              <w:top w:val="nil"/>
              <w:left w:val="nil"/>
              <w:bottom w:val="single" w:sz="4" w:space="0" w:color="auto"/>
              <w:right w:val="single" w:sz="4" w:space="0" w:color="auto"/>
            </w:tcBorders>
            <w:shd w:val="clear" w:color="auto" w:fill="auto"/>
            <w:vAlign w:val="center"/>
          </w:tcPr>
          <w:p w14:paraId="05EF684D" w14:textId="77777777" w:rsidR="00ED673F" w:rsidRPr="00ED673F" w:rsidRDefault="00ED673F" w:rsidP="00ED673F">
            <w:pPr>
              <w:spacing w:before="40" w:after="40"/>
              <w:jc w:val="center"/>
            </w:pPr>
            <w:r w:rsidRPr="00ED673F">
              <w:t>2.45%</w:t>
            </w:r>
          </w:p>
        </w:tc>
        <w:tc>
          <w:tcPr>
            <w:tcW w:w="1917" w:type="dxa"/>
            <w:tcBorders>
              <w:top w:val="nil"/>
              <w:left w:val="single" w:sz="4" w:space="0" w:color="auto"/>
              <w:bottom w:val="single" w:sz="4" w:space="0" w:color="auto"/>
              <w:right w:val="nil"/>
            </w:tcBorders>
          </w:tcPr>
          <w:p w14:paraId="4C80FB68" w14:textId="77777777" w:rsidR="00ED673F" w:rsidRPr="00ED673F" w:rsidRDefault="00ED673F" w:rsidP="00ED673F">
            <w:pPr>
              <w:spacing w:before="40" w:after="40"/>
              <w:jc w:val="center"/>
            </w:pPr>
            <w:r w:rsidRPr="00ED673F">
              <w:t>2.45%</w:t>
            </w:r>
          </w:p>
        </w:tc>
      </w:tr>
      <w:tr w:rsidR="00ED673F" w:rsidRPr="00ED673F" w14:paraId="368A4B24" w14:textId="77777777" w:rsidTr="00ED673F">
        <w:trPr>
          <w:trHeight w:val="444"/>
        </w:trPr>
        <w:tc>
          <w:tcPr>
            <w:tcW w:w="1661" w:type="dxa"/>
            <w:vMerge/>
            <w:tcBorders>
              <w:left w:val="nil"/>
              <w:bottom w:val="single" w:sz="4" w:space="0" w:color="auto"/>
              <w:right w:val="nil"/>
            </w:tcBorders>
            <w:shd w:val="clear" w:color="auto" w:fill="auto"/>
            <w:vAlign w:val="center"/>
          </w:tcPr>
          <w:p w14:paraId="3F194DD1" w14:textId="77777777" w:rsidR="00ED673F" w:rsidRPr="00ED673F" w:rsidRDefault="00ED673F" w:rsidP="00ED673F">
            <w:pPr>
              <w:spacing w:before="40" w:after="40"/>
            </w:pPr>
          </w:p>
        </w:tc>
        <w:tc>
          <w:tcPr>
            <w:tcW w:w="8027" w:type="dxa"/>
            <w:gridSpan w:val="5"/>
            <w:tcBorders>
              <w:top w:val="nil"/>
              <w:left w:val="nil"/>
              <w:bottom w:val="single" w:sz="4" w:space="0" w:color="auto"/>
              <w:right w:val="nil"/>
            </w:tcBorders>
            <w:shd w:val="clear" w:color="auto" w:fill="auto"/>
            <w:vAlign w:val="center"/>
          </w:tcPr>
          <w:p w14:paraId="48CB33AD" w14:textId="77777777" w:rsidR="00ED673F" w:rsidRPr="00ED673F" w:rsidRDefault="00ED673F" w:rsidP="00ED673F">
            <w:pPr>
              <w:spacing w:before="40" w:after="40"/>
            </w:pPr>
            <w:r w:rsidRPr="00ED673F">
              <w:t>Based on the most recent forecast from the Deloitte Access Economic Business Outlook for the Victorian Consumer Price Index.</w:t>
            </w:r>
          </w:p>
        </w:tc>
      </w:tr>
      <w:tr w:rsidR="00ED673F" w:rsidRPr="00ED673F" w14:paraId="391847C9" w14:textId="77777777" w:rsidTr="00ED673F">
        <w:trPr>
          <w:trHeight w:val="441"/>
        </w:trPr>
        <w:tc>
          <w:tcPr>
            <w:tcW w:w="1661" w:type="dxa"/>
            <w:vMerge w:val="restart"/>
            <w:tcBorders>
              <w:top w:val="single" w:sz="4" w:space="0" w:color="auto"/>
              <w:left w:val="nil"/>
              <w:right w:val="nil"/>
            </w:tcBorders>
            <w:shd w:val="clear" w:color="auto" w:fill="auto"/>
          </w:tcPr>
          <w:p w14:paraId="72716F01" w14:textId="77777777" w:rsidR="00ED673F" w:rsidRPr="00ED673F" w:rsidRDefault="00ED673F" w:rsidP="00ED673F">
            <w:pPr>
              <w:spacing w:before="40" w:after="40"/>
            </w:pPr>
            <w:r w:rsidRPr="00ED673F">
              <w:t>Rates cap – base case</w:t>
            </w:r>
          </w:p>
          <w:p w14:paraId="04BC6BC8" w14:textId="77777777" w:rsidR="00ED673F" w:rsidRPr="00ED673F" w:rsidRDefault="00ED673F" w:rsidP="00ED673F">
            <w:pPr>
              <w:spacing w:before="40" w:after="40"/>
            </w:pPr>
            <w:r w:rsidRPr="00ED673F">
              <w:t>(ESC recommended methodology)</w:t>
            </w:r>
          </w:p>
        </w:tc>
        <w:tc>
          <w:tcPr>
            <w:tcW w:w="1526" w:type="dxa"/>
            <w:tcBorders>
              <w:top w:val="single" w:sz="4" w:space="0" w:color="auto"/>
              <w:left w:val="nil"/>
              <w:bottom w:val="single" w:sz="4" w:space="0" w:color="auto"/>
              <w:right w:val="nil"/>
            </w:tcBorders>
            <w:shd w:val="clear" w:color="auto" w:fill="auto"/>
            <w:vAlign w:val="center"/>
          </w:tcPr>
          <w:p w14:paraId="4B7F9938" w14:textId="77777777" w:rsidR="00ED673F" w:rsidRPr="00ED673F" w:rsidRDefault="00ED673F" w:rsidP="00ED673F">
            <w:pPr>
              <w:spacing w:before="40" w:after="40"/>
              <w:jc w:val="center"/>
            </w:pPr>
            <w:r w:rsidRPr="00ED673F">
              <w:rPr>
                <w:b/>
              </w:rPr>
              <w:t>2018/19</w:t>
            </w:r>
          </w:p>
        </w:tc>
        <w:tc>
          <w:tcPr>
            <w:tcW w:w="1528" w:type="dxa"/>
            <w:tcBorders>
              <w:top w:val="single" w:sz="4" w:space="0" w:color="auto"/>
              <w:left w:val="nil"/>
              <w:bottom w:val="single" w:sz="4" w:space="0" w:color="auto"/>
              <w:right w:val="nil"/>
            </w:tcBorders>
            <w:shd w:val="clear" w:color="auto" w:fill="auto"/>
            <w:vAlign w:val="center"/>
          </w:tcPr>
          <w:p w14:paraId="7925D0B5" w14:textId="77777777" w:rsidR="00ED673F" w:rsidRPr="00ED673F" w:rsidRDefault="00ED673F" w:rsidP="00ED673F">
            <w:pPr>
              <w:spacing w:before="40" w:after="40"/>
              <w:jc w:val="center"/>
            </w:pPr>
            <w:r w:rsidRPr="00ED673F">
              <w:rPr>
                <w:b/>
              </w:rPr>
              <w:t>2019/20</w:t>
            </w:r>
          </w:p>
        </w:tc>
        <w:tc>
          <w:tcPr>
            <w:tcW w:w="1528" w:type="dxa"/>
            <w:tcBorders>
              <w:top w:val="single" w:sz="4" w:space="0" w:color="auto"/>
              <w:left w:val="nil"/>
              <w:bottom w:val="single" w:sz="4" w:space="0" w:color="auto"/>
              <w:right w:val="nil"/>
            </w:tcBorders>
            <w:shd w:val="clear" w:color="auto" w:fill="auto"/>
            <w:vAlign w:val="center"/>
          </w:tcPr>
          <w:p w14:paraId="3AC4A804" w14:textId="77777777" w:rsidR="00ED673F" w:rsidRPr="00ED673F" w:rsidRDefault="00ED673F" w:rsidP="00ED673F">
            <w:pPr>
              <w:spacing w:before="40" w:after="40"/>
              <w:jc w:val="center"/>
            </w:pPr>
            <w:r w:rsidRPr="00ED673F">
              <w:rPr>
                <w:b/>
              </w:rPr>
              <w:t>2020/21</w:t>
            </w:r>
          </w:p>
        </w:tc>
        <w:tc>
          <w:tcPr>
            <w:tcW w:w="1528" w:type="dxa"/>
            <w:tcBorders>
              <w:top w:val="single" w:sz="4" w:space="0" w:color="auto"/>
              <w:left w:val="nil"/>
              <w:bottom w:val="single" w:sz="4" w:space="0" w:color="auto"/>
              <w:right w:val="single" w:sz="4" w:space="0" w:color="auto"/>
            </w:tcBorders>
            <w:shd w:val="clear" w:color="auto" w:fill="auto"/>
            <w:vAlign w:val="center"/>
          </w:tcPr>
          <w:p w14:paraId="256E6976" w14:textId="77777777" w:rsidR="00ED673F" w:rsidRPr="00ED673F" w:rsidRDefault="00ED673F" w:rsidP="00ED673F">
            <w:pPr>
              <w:spacing w:before="40" w:after="40"/>
              <w:jc w:val="center"/>
            </w:pPr>
            <w:r w:rsidRPr="00ED673F">
              <w:rPr>
                <w:b/>
              </w:rPr>
              <w:t>2021/22</w:t>
            </w:r>
          </w:p>
        </w:tc>
        <w:tc>
          <w:tcPr>
            <w:tcW w:w="1917" w:type="dxa"/>
            <w:tcBorders>
              <w:top w:val="single" w:sz="4" w:space="0" w:color="auto"/>
              <w:left w:val="single" w:sz="4" w:space="0" w:color="auto"/>
              <w:bottom w:val="single" w:sz="4" w:space="0" w:color="auto"/>
              <w:right w:val="nil"/>
            </w:tcBorders>
          </w:tcPr>
          <w:p w14:paraId="17D09CB3" w14:textId="77777777" w:rsidR="00ED673F" w:rsidRPr="00ED673F" w:rsidRDefault="00ED673F" w:rsidP="00ED673F">
            <w:pPr>
              <w:spacing w:before="40" w:after="40"/>
              <w:jc w:val="center"/>
              <w:rPr>
                <w:b/>
              </w:rPr>
            </w:pPr>
            <w:r w:rsidRPr="00ED673F">
              <w:rPr>
                <w:b/>
              </w:rPr>
              <w:t>2027/28</w:t>
            </w:r>
          </w:p>
        </w:tc>
      </w:tr>
      <w:tr w:rsidR="00ED673F" w:rsidRPr="00ED673F" w14:paraId="3609AE64" w14:textId="77777777" w:rsidTr="00ED673F">
        <w:trPr>
          <w:trHeight w:val="441"/>
        </w:trPr>
        <w:tc>
          <w:tcPr>
            <w:tcW w:w="1661" w:type="dxa"/>
            <w:vMerge/>
            <w:tcBorders>
              <w:left w:val="nil"/>
              <w:right w:val="nil"/>
            </w:tcBorders>
            <w:shd w:val="clear" w:color="auto" w:fill="auto"/>
            <w:vAlign w:val="center"/>
          </w:tcPr>
          <w:p w14:paraId="7386ABCE" w14:textId="77777777" w:rsidR="00ED673F" w:rsidRPr="00ED673F" w:rsidRDefault="00ED673F" w:rsidP="00ED673F">
            <w:pPr>
              <w:spacing w:before="40" w:after="40"/>
            </w:pPr>
          </w:p>
        </w:tc>
        <w:tc>
          <w:tcPr>
            <w:tcW w:w="1526" w:type="dxa"/>
            <w:tcBorders>
              <w:top w:val="single" w:sz="4" w:space="0" w:color="auto"/>
              <w:left w:val="nil"/>
              <w:bottom w:val="single" w:sz="4" w:space="0" w:color="auto"/>
              <w:right w:val="nil"/>
            </w:tcBorders>
            <w:shd w:val="clear" w:color="auto" w:fill="auto"/>
            <w:vAlign w:val="center"/>
          </w:tcPr>
          <w:p w14:paraId="1079EA1C" w14:textId="77777777" w:rsidR="00ED673F" w:rsidRPr="00ED673F" w:rsidRDefault="00ED673F" w:rsidP="00ED673F">
            <w:pPr>
              <w:spacing w:before="40" w:after="40"/>
              <w:jc w:val="center"/>
            </w:pPr>
            <w:r w:rsidRPr="00ED673F">
              <w:t>2.43%</w:t>
            </w:r>
          </w:p>
        </w:tc>
        <w:tc>
          <w:tcPr>
            <w:tcW w:w="1528" w:type="dxa"/>
            <w:tcBorders>
              <w:top w:val="single" w:sz="4" w:space="0" w:color="auto"/>
              <w:left w:val="nil"/>
              <w:bottom w:val="single" w:sz="4" w:space="0" w:color="auto"/>
              <w:right w:val="nil"/>
            </w:tcBorders>
            <w:shd w:val="clear" w:color="auto" w:fill="auto"/>
            <w:vAlign w:val="center"/>
          </w:tcPr>
          <w:p w14:paraId="3016F9C8" w14:textId="77777777" w:rsidR="00ED673F" w:rsidRPr="00ED673F" w:rsidRDefault="00ED673F" w:rsidP="00ED673F">
            <w:pPr>
              <w:spacing w:before="40" w:after="40"/>
              <w:jc w:val="center"/>
            </w:pPr>
            <w:r w:rsidRPr="00ED673F">
              <w:t>2.37%</w:t>
            </w:r>
          </w:p>
        </w:tc>
        <w:tc>
          <w:tcPr>
            <w:tcW w:w="1528" w:type="dxa"/>
            <w:tcBorders>
              <w:top w:val="single" w:sz="4" w:space="0" w:color="auto"/>
              <w:left w:val="nil"/>
              <w:bottom w:val="single" w:sz="4" w:space="0" w:color="auto"/>
              <w:right w:val="nil"/>
            </w:tcBorders>
            <w:shd w:val="clear" w:color="auto" w:fill="auto"/>
            <w:vAlign w:val="center"/>
          </w:tcPr>
          <w:p w14:paraId="7C793DAD" w14:textId="77777777" w:rsidR="00ED673F" w:rsidRPr="00ED673F" w:rsidRDefault="00ED673F" w:rsidP="00ED673F">
            <w:pPr>
              <w:spacing w:before="40" w:after="40"/>
              <w:jc w:val="center"/>
            </w:pPr>
            <w:r w:rsidRPr="00ED673F">
              <w:t>2.57%</w:t>
            </w:r>
          </w:p>
        </w:tc>
        <w:tc>
          <w:tcPr>
            <w:tcW w:w="1528" w:type="dxa"/>
            <w:tcBorders>
              <w:top w:val="single" w:sz="4" w:space="0" w:color="auto"/>
              <w:left w:val="nil"/>
              <w:bottom w:val="single" w:sz="4" w:space="0" w:color="auto"/>
              <w:right w:val="single" w:sz="4" w:space="0" w:color="auto"/>
            </w:tcBorders>
            <w:shd w:val="clear" w:color="auto" w:fill="auto"/>
            <w:vAlign w:val="center"/>
          </w:tcPr>
          <w:p w14:paraId="524015C0" w14:textId="77777777" w:rsidR="00ED673F" w:rsidRPr="00ED673F" w:rsidRDefault="00ED673F" w:rsidP="00ED673F">
            <w:pPr>
              <w:spacing w:before="40" w:after="40"/>
              <w:jc w:val="center"/>
            </w:pPr>
            <w:r w:rsidRPr="00ED673F">
              <w:t>2.58%</w:t>
            </w:r>
          </w:p>
        </w:tc>
        <w:tc>
          <w:tcPr>
            <w:tcW w:w="1917" w:type="dxa"/>
            <w:tcBorders>
              <w:top w:val="single" w:sz="4" w:space="0" w:color="auto"/>
              <w:left w:val="single" w:sz="4" w:space="0" w:color="auto"/>
              <w:bottom w:val="single" w:sz="4" w:space="0" w:color="auto"/>
              <w:right w:val="nil"/>
            </w:tcBorders>
          </w:tcPr>
          <w:p w14:paraId="7F8F42FC" w14:textId="77777777" w:rsidR="00ED673F" w:rsidRPr="00ED673F" w:rsidRDefault="00ED673F" w:rsidP="00ED673F">
            <w:pPr>
              <w:spacing w:before="40" w:after="40"/>
              <w:jc w:val="center"/>
            </w:pPr>
            <w:r w:rsidRPr="00ED673F">
              <w:t>2.28%</w:t>
            </w:r>
          </w:p>
        </w:tc>
      </w:tr>
      <w:tr w:rsidR="00ED673F" w:rsidRPr="00ED673F" w14:paraId="796CA248" w14:textId="77777777" w:rsidTr="00ED673F">
        <w:trPr>
          <w:trHeight w:val="441"/>
        </w:trPr>
        <w:tc>
          <w:tcPr>
            <w:tcW w:w="1661" w:type="dxa"/>
            <w:vMerge/>
            <w:tcBorders>
              <w:left w:val="nil"/>
              <w:bottom w:val="single" w:sz="4" w:space="0" w:color="auto"/>
              <w:right w:val="nil"/>
            </w:tcBorders>
            <w:shd w:val="clear" w:color="auto" w:fill="auto"/>
            <w:vAlign w:val="center"/>
          </w:tcPr>
          <w:p w14:paraId="2C73FB16" w14:textId="77777777" w:rsidR="00ED673F" w:rsidRPr="00ED673F" w:rsidRDefault="00ED673F" w:rsidP="00ED673F">
            <w:pPr>
              <w:spacing w:before="40" w:after="40"/>
            </w:pPr>
          </w:p>
        </w:tc>
        <w:tc>
          <w:tcPr>
            <w:tcW w:w="8027" w:type="dxa"/>
            <w:gridSpan w:val="5"/>
            <w:tcBorders>
              <w:top w:val="single" w:sz="4" w:space="0" w:color="auto"/>
              <w:left w:val="nil"/>
              <w:bottom w:val="single" w:sz="4" w:space="0" w:color="auto"/>
              <w:right w:val="nil"/>
            </w:tcBorders>
            <w:shd w:val="clear" w:color="auto" w:fill="auto"/>
            <w:vAlign w:val="center"/>
          </w:tcPr>
          <w:p w14:paraId="78743CC7" w14:textId="77777777" w:rsidR="00ED673F" w:rsidRPr="00ED673F" w:rsidRDefault="00ED673F" w:rsidP="00ED673F">
            <w:pPr>
              <w:spacing w:before="40" w:after="40"/>
            </w:pPr>
            <w:r w:rsidRPr="00ED673F">
              <w:t xml:space="preserve">The final rates cap for 2018/19 will not be announced until December 2017. Further, there remains some uncertainty as to the level of the rates cap in future years, particularly as the ESC plan to have a position paper by February 2018 on the setting of the efficiency factor for rates cap. </w:t>
            </w:r>
          </w:p>
          <w:p w14:paraId="1E4C8A91" w14:textId="77777777" w:rsidR="00ED673F" w:rsidRPr="00ED673F" w:rsidRDefault="00ED673F" w:rsidP="00ED673F">
            <w:pPr>
              <w:spacing w:before="40" w:after="40"/>
            </w:pPr>
            <w:r w:rsidRPr="00ED673F">
              <w:t>For the purposes of the Outlook, Council has used forecasts from the Deloitte Access Economic Business Outlook for the Consumer Price Index and Wage Price Index.</w:t>
            </w:r>
          </w:p>
        </w:tc>
      </w:tr>
      <w:tr w:rsidR="00ED673F" w:rsidRPr="00ED673F" w14:paraId="43529007" w14:textId="77777777" w:rsidTr="00ED673F">
        <w:trPr>
          <w:trHeight w:val="441"/>
        </w:trPr>
        <w:tc>
          <w:tcPr>
            <w:tcW w:w="1661" w:type="dxa"/>
            <w:vMerge w:val="restart"/>
            <w:tcBorders>
              <w:top w:val="single" w:sz="4" w:space="0" w:color="auto"/>
              <w:left w:val="nil"/>
              <w:right w:val="nil"/>
            </w:tcBorders>
            <w:shd w:val="clear" w:color="auto" w:fill="auto"/>
          </w:tcPr>
          <w:p w14:paraId="579A9A8B" w14:textId="77777777" w:rsidR="00ED673F" w:rsidRPr="00ED673F" w:rsidRDefault="00ED673F" w:rsidP="00ED673F">
            <w:pPr>
              <w:spacing w:before="40" w:after="40"/>
            </w:pPr>
            <w:r w:rsidRPr="00ED673F">
              <w:t xml:space="preserve">Alternative rates cap scenario </w:t>
            </w:r>
          </w:p>
          <w:p w14:paraId="6127A009" w14:textId="77777777" w:rsidR="00ED673F" w:rsidRPr="00ED673F" w:rsidRDefault="00ED673F" w:rsidP="00ED673F">
            <w:pPr>
              <w:spacing w:before="40" w:after="40"/>
            </w:pPr>
            <w:r w:rsidRPr="00ED673F">
              <w:t>(1.5% per annum)</w:t>
            </w:r>
          </w:p>
        </w:tc>
        <w:tc>
          <w:tcPr>
            <w:tcW w:w="1526" w:type="dxa"/>
            <w:tcBorders>
              <w:top w:val="single" w:sz="4" w:space="0" w:color="auto"/>
              <w:left w:val="nil"/>
              <w:bottom w:val="single" w:sz="4" w:space="0" w:color="auto"/>
              <w:right w:val="nil"/>
            </w:tcBorders>
            <w:shd w:val="clear" w:color="auto" w:fill="auto"/>
            <w:vAlign w:val="center"/>
          </w:tcPr>
          <w:p w14:paraId="4833556E" w14:textId="77777777" w:rsidR="00ED673F" w:rsidRPr="00ED673F" w:rsidRDefault="00ED673F" w:rsidP="00ED673F">
            <w:pPr>
              <w:spacing w:before="40" w:after="40"/>
              <w:jc w:val="center"/>
            </w:pPr>
            <w:r w:rsidRPr="00ED673F">
              <w:rPr>
                <w:b/>
              </w:rPr>
              <w:t>2018/19</w:t>
            </w:r>
          </w:p>
        </w:tc>
        <w:tc>
          <w:tcPr>
            <w:tcW w:w="1528" w:type="dxa"/>
            <w:tcBorders>
              <w:top w:val="single" w:sz="4" w:space="0" w:color="auto"/>
              <w:left w:val="nil"/>
              <w:bottom w:val="single" w:sz="4" w:space="0" w:color="auto"/>
              <w:right w:val="nil"/>
            </w:tcBorders>
            <w:shd w:val="clear" w:color="auto" w:fill="auto"/>
            <w:vAlign w:val="center"/>
          </w:tcPr>
          <w:p w14:paraId="746146D5" w14:textId="77777777" w:rsidR="00ED673F" w:rsidRPr="00ED673F" w:rsidRDefault="00ED673F" w:rsidP="00ED673F">
            <w:pPr>
              <w:spacing w:before="40" w:after="40"/>
              <w:jc w:val="center"/>
            </w:pPr>
            <w:r w:rsidRPr="00ED673F">
              <w:rPr>
                <w:b/>
              </w:rPr>
              <w:t>2019/20</w:t>
            </w:r>
          </w:p>
        </w:tc>
        <w:tc>
          <w:tcPr>
            <w:tcW w:w="1528" w:type="dxa"/>
            <w:tcBorders>
              <w:top w:val="single" w:sz="4" w:space="0" w:color="auto"/>
              <w:left w:val="nil"/>
              <w:bottom w:val="single" w:sz="4" w:space="0" w:color="auto"/>
              <w:right w:val="nil"/>
            </w:tcBorders>
            <w:shd w:val="clear" w:color="auto" w:fill="auto"/>
            <w:vAlign w:val="center"/>
          </w:tcPr>
          <w:p w14:paraId="52E74C78" w14:textId="77777777" w:rsidR="00ED673F" w:rsidRPr="00ED673F" w:rsidRDefault="00ED673F" w:rsidP="00ED673F">
            <w:pPr>
              <w:spacing w:before="40" w:after="40"/>
              <w:jc w:val="center"/>
            </w:pPr>
            <w:r w:rsidRPr="00ED673F">
              <w:rPr>
                <w:b/>
              </w:rPr>
              <w:t>2020/21</w:t>
            </w:r>
          </w:p>
        </w:tc>
        <w:tc>
          <w:tcPr>
            <w:tcW w:w="1528" w:type="dxa"/>
            <w:tcBorders>
              <w:top w:val="single" w:sz="4" w:space="0" w:color="auto"/>
              <w:left w:val="nil"/>
              <w:bottom w:val="single" w:sz="4" w:space="0" w:color="auto"/>
              <w:right w:val="single" w:sz="4" w:space="0" w:color="auto"/>
            </w:tcBorders>
            <w:shd w:val="clear" w:color="auto" w:fill="auto"/>
            <w:vAlign w:val="center"/>
          </w:tcPr>
          <w:p w14:paraId="0E6D7170" w14:textId="77777777" w:rsidR="00ED673F" w:rsidRPr="00ED673F" w:rsidRDefault="00ED673F" w:rsidP="00ED673F">
            <w:pPr>
              <w:spacing w:before="40" w:after="40"/>
              <w:jc w:val="center"/>
            </w:pPr>
            <w:r w:rsidRPr="00ED673F">
              <w:rPr>
                <w:b/>
              </w:rPr>
              <w:t>2021/22</w:t>
            </w:r>
          </w:p>
        </w:tc>
        <w:tc>
          <w:tcPr>
            <w:tcW w:w="1917" w:type="dxa"/>
            <w:tcBorders>
              <w:top w:val="single" w:sz="4" w:space="0" w:color="auto"/>
              <w:left w:val="single" w:sz="4" w:space="0" w:color="auto"/>
              <w:bottom w:val="single" w:sz="4" w:space="0" w:color="auto"/>
              <w:right w:val="nil"/>
            </w:tcBorders>
          </w:tcPr>
          <w:p w14:paraId="17A58100" w14:textId="77777777" w:rsidR="00ED673F" w:rsidRPr="00ED673F" w:rsidRDefault="00ED673F" w:rsidP="00ED673F">
            <w:pPr>
              <w:spacing w:before="40" w:after="40"/>
              <w:jc w:val="center"/>
              <w:rPr>
                <w:b/>
              </w:rPr>
            </w:pPr>
            <w:r w:rsidRPr="00ED673F">
              <w:rPr>
                <w:b/>
              </w:rPr>
              <w:t>2027/28</w:t>
            </w:r>
          </w:p>
        </w:tc>
      </w:tr>
      <w:tr w:rsidR="00ED673F" w:rsidRPr="00ED673F" w14:paraId="5EED9FE0" w14:textId="77777777" w:rsidTr="00ED673F">
        <w:trPr>
          <w:trHeight w:val="441"/>
        </w:trPr>
        <w:tc>
          <w:tcPr>
            <w:tcW w:w="1661" w:type="dxa"/>
            <w:vMerge/>
            <w:tcBorders>
              <w:left w:val="nil"/>
              <w:right w:val="nil"/>
            </w:tcBorders>
            <w:shd w:val="clear" w:color="auto" w:fill="auto"/>
            <w:vAlign w:val="center"/>
          </w:tcPr>
          <w:p w14:paraId="516C2AC4" w14:textId="77777777" w:rsidR="00ED673F" w:rsidRPr="00ED673F" w:rsidRDefault="00ED673F" w:rsidP="00ED673F">
            <w:pPr>
              <w:spacing w:before="40" w:after="40"/>
            </w:pPr>
          </w:p>
        </w:tc>
        <w:tc>
          <w:tcPr>
            <w:tcW w:w="1526" w:type="dxa"/>
            <w:tcBorders>
              <w:top w:val="single" w:sz="4" w:space="0" w:color="auto"/>
              <w:left w:val="nil"/>
              <w:bottom w:val="single" w:sz="4" w:space="0" w:color="auto"/>
              <w:right w:val="nil"/>
            </w:tcBorders>
            <w:shd w:val="clear" w:color="auto" w:fill="auto"/>
            <w:vAlign w:val="center"/>
          </w:tcPr>
          <w:p w14:paraId="3DB19352" w14:textId="77777777" w:rsidR="00ED673F" w:rsidRPr="00ED673F" w:rsidRDefault="00ED673F" w:rsidP="00ED673F">
            <w:pPr>
              <w:spacing w:before="40" w:after="40"/>
              <w:jc w:val="center"/>
            </w:pPr>
            <w:r w:rsidRPr="00ED673F">
              <w:t>1.50%</w:t>
            </w:r>
          </w:p>
        </w:tc>
        <w:tc>
          <w:tcPr>
            <w:tcW w:w="1528" w:type="dxa"/>
            <w:tcBorders>
              <w:top w:val="single" w:sz="4" w:space="0" w:color="auto"/>
              <w:left w:val="nil"/>
              <w:bottom w:val="single" w:sz="4" w:space="0" w:color="auto"/>
              <w:right w:val="nil"/>
            </w:tcBorders>
            <w:shd w:val="clear" w:color="auto" w:fill="auto"/>
            <w:vAlign w:val="center"/>
          </w:tcPr>
          <w:p w14:paraId="606D7CC4" w14:textId="77777777" w:rsidR="00ED673F" w:rsidRPr="00ED673F" w:rsidRDefault="00ED673F" w:rsidP="00ED673F">
            <w:pPr>
              <w:spacing w:before="40" w:after="40"/>
              <w:jc w:val="center"/>
            </w:pPr>
            <w:r w:rsidRPr="00ED673F">
              <w:t>1.50%</w:t>
            </w:r>
          </w:p>
        </w:tc>
        <w:tc>
          <w:tcPr>
            <w:tcW w:w="1528" w:type="dxa"/>
            <w:tcBorders>
              <w:top w:val="single" w:sz="4" w:space="0" w:color="auto"/>
              <w:left w:val="nil"/>
              <w:bottom w:val="single" w:sz="4" w:space="0" w:color="auto"/>
              <w:right w:val="nil"/>
            </w:tcBorders>
            <w:shd w:val="clear" w:color="auto" w:fill="auto"/>
            <w:vAlign w:val="center"/>
          </w:tcPr>
          <w:p w14:paraId="63584C15" w14:textId="77777777" w:rsidR="00ED673F" w:rsidRPr="00ED673F" w:rsidRDefault="00ED673F" w:rsidP="00ED673F">
            <w:pPr>
              <w:spacing w:before="40" w:after="40"/>
              <w:jc w:val="center"/>
            </w:pPr>
            <w:r w:rsidRPr="00ED673F">
              <w:t>1.50%</w:t>
            </w:r>
          </w:p>
        </w:tc>
        <w:tc>
          <w:tcPr>
            <w:tcW w:w="1528" w:type="dxa"/>
            <w:tcBorders>
              <w:top w:val="single" w:sz="4" w:space="0" w:color="auto"/>
              <w:left w:val="nil"/>
              <w:bottom w:val="single" w:sz="4" w:space="0" w:color="auto"/>
              <w:right w:val="single" w:sz="4" w:space="0" w:color="auto"/>
            </w:tcBorders>
            <w:shd w:val="clear" w:color="auto" w:fill="auto"/>
            <w:vAlign w:val="center"/>
          </w:tcPr>
          <w:p w14:paraId="4D6BBC83" w14:textId="77777777" w:rsidR="00ED673F" w:rsidRPr="00ED673F" w:rsidRDefault="00ED673F" w:rsidP="00ED673F">
            <w:pPr>
              <w:spacing w:before="40" w:after="40"/>
              <w:jc w:val="center"/>
            </w:pPr>
            <w:r w:rsidRPr="00ED673F">
              <w:t>1.50%</w:t>
            </w:r>
          </w:p>
        </w:tc>
        <w:tc>
          <w:tcPr>
            <w:tcW w:w="1917" w:type="dxa"/>
            <w:tcBorders>
              <w:top w:val="single" w:sz="4" w:space="0" w:color="auto"/>
              <w:left w:val="single" w:sz="4" w:space="0" w:color="auto"/>
              <w:bottom w:val="single" w:sz="4" w:space="0" w:color="auto"/>
              <w:right w:val="nil"/>
            </w:tcBorders>
          </w:tcPr>
          <w:p w14:paraId="392BC33C" w14:textId="77777777" w:rsidR="00ED673F" w:rsidRPr="00ED673F" w:rsidRDefault="00ED673F" w:rsidP="00ED673F">
            <w:pPr>
              <w:spacing w:before="40" w:after="40"/>
              <w:jc w:val="center"/>
            </w:pPr>
            <w:r w:rsidRPr="00ED673F">
              <w:t>1.50%</w:t>
            </w:r>
          </w:p>
        </w:tc>
      </w:tr>
      <w:tr w:rsidR="00ED673F" w:rsidRPr="00ED673F" w14:paraId="6BE044D6" w14:textId="77777777" w:rsidTr="00ED673F">
        <w:trPr>
          <w:trHeight w:val="441"/>
        </w:trPr>
        <w:tc>
          <w:tcPr>
            <w:tcW w:w="1661" w:type="dxa"/>
            <w:vMerge/>
            <w:tcBorders>
              <w:left w:val="nil"/>
              <w:bottom w:val="single" w:sz="4" w:space="0" w:color="auto"/>
              <w:right w:val="nil"/>
            </w:tcBorders>
            <w:shd w:val="clear" w:color="auto" w:fill="auto"/>
            <w:vAlign w:val="center"/>
          </w:tcPr>
          <w:p w14:paraId="5D1B2E5D" w14:textId="77777777" w:rsidR="00ED673F" w:rsidRPr="00ED673F" w:rsidRDefault="00ED673F" w:rsidP="00ED673F">
            <w:pPr>
              <w:spacing w:before="40" w:after="40"/>
            </w:pPr>
          </w:p>
        </w:tc>
        <w:tc>
          <w:tcPr>
            <w:tcW w:w="8027" w:type="dxa"/>
            <w:gridSpan w:val="5"/>
            <w:tcBorders>
              <w:top w:val="single" w:sz="4" w:space="0" w:color="auto"/>
              <w:left w:val="nil"/>
              <w:bottom w:val="single" w:sz="4" w:space="0" w:color="auto"/>
              <w:right w:val="nil"/>
            </w:tcBorders>
            <w:shd w:val="clear" w:color="auto" w:fill="auto"/>
            <w:vAlign w:val="center"/>
          </w:tcPr>
          <w:p w14:paraId="76CE8564" w14:textId="77777777" w:rsidR="00ED673F" w:rsidRPr="00ED673F" w:rsidRDefault="00ED673F" w:rsidP="00ED673F">
            <w:pPr>
              <w:spacing w:before="40" w:after="40"/>
            </w:pPr>
            <w:r w:rsidRPr="00ED673F">
              <w:t>Given the uncertainty surrounding the State Government’s position on the rates cap, Council has modelled a rates cap scenario at 1.5% per annum.</w:t>
            </w:r>
          </w:p>
        </w:tc>
      </w:tr>
      <w:tr w:rsidR="00ED673F" w:rsidRPr="00ED673F" w14:paraId="64EDF17F" w14:textId="77777777" w:rsidTr="00ED673F">
        <w:trPr>
          <w:trHeight w:val="441"/>
        </w:trPr>
        <w:tc>
          <w:tcPr>
            <w:tcW w:w="1661" w:type="dxa"/>
            <w:tcBorders>
              <w:top w:val="single" w:sz="4" w:space="0" w:color="auto"/>
              <w:left w:val="nil"/>
              <w:bottom w:val="single" w:sz="4" w:space="0" w:color="auto"/>
              <w:right w:val="nil"/>
            </w:tcBorders>
            <w:shd w:val="clear" w:color="auto" w:fill="auto"/>
          </w:tcPr>
          <w:p w14:paraId="15BDBB28" w14:textId="77777777" w:rsidR="00ED673F" w:rsidRPr="00ED673F" w:rsidRDefault="00ED673F" w:rsidP="00ED673F">
            <w:pPr>
              <w:spacing w:before="40" w:after="40"/>
            </w:pPr>
            <w:r w:rsidRPr="00ED673F">
              <w:t>Growth in the rate base</w:t>
            </w:r>
          </w:p>
        </w:tc>
        <w:tc>
          <w:tcPr>
            <w:tcW w:w="8027" w:type="dxa"/>
            <w:gridSpan w:val="5"/>
            <w:tcBorders>
              <w:top w:val="single" w:sz="4" w:space="0" w:color="auto"/>
              <w:left w:val="nil"/>
              <w:bottom w:val="single" w:sz="4" w:space="0" w:color="auto"/>
              <w:right w:val="nil"/>
            </w:tcBorders>
            <w:shd w:val="clear" w:color="auto" w:fill="auto"/>
            <w:vAlign w:val="center"/>
          </w:tcPr>
          <w:p w14:paraId="2AC1B949" w14:textId="77777777" w:rsidR="00ED673F" w:rsidRPr="00ED673F" w:rsidRDefault="00ED673F" w:rsidP="00ED673F">
            <w:pPr>
              <w:spacing w:before="40" w:after="40"/>
            </w:pPr>
            <w:r w:rsidRPr="00ED673F">
              <w:t>1.3% per annum based on latest population growth data from Profile ID and Fisherman’s Bend Taskforce.</w:t>
            </w:r>
          </w:p>
        </w:tc>
      </w:tr>
      <w:tr w:rsidR="00ED673F" w:rsidRPr="00ED673F" w14:paraId="250122E3" w14:textId="77777777" w:rsidTr="00ED673F">
        <w:trPr>
          <w:trHeight w:val="441"/>
        </w:trPr>
        <w:tc>
          <w:tcPr>
            <w:tcW w:w="1661" w:type="dxa"/>
            <w:tcBorders>
              <w:top w:val="single" w:sz="4" w:space="0" w:color="auto"/>
              <w:left w:val="nil"/>
              <w:bottom w:val="single" w:sz="4" w:space="0" w:color="auto"/>
              <w:right w:val="nil"/>
            </w:tcBorders>
            <w:shd w:val="clear" w:color="auto" w:fill="auto"/>
          </w:tcPr>
          <w:p w14:paraId="17567606" w14:textId="77777777" w:rsidR="00ED673F" w:rsidRPr="00ED673F" w:rsidRDefault="00ED673F" w:rsidP="00ED673F">
            <w:pPr>
              <w:spacing w:before="40" w:after="40"/>
            </w:pPr>
            <w:r w:rsidRPr="00ED673F">
              <w:t>Parking revenue</w:t>
            </w:r>
          </w:p>
        </w:tc>
        <w:tc>
          <w:tcPr>
            <w:tcW w:w="8027" w:type="dxa"/>
            <w:gridSpan w:val="5"/>
            <w:tcBorders>
              <w:top w:val="single" w:sz="4" w:space="0" w:color="auto"/>
              <w:left w:val="nil"/>
              <w:bottom w:val="single" w:sz="4" w:space="0" w:color="auto"/>
              <w:right w:val="nil"/>
            </w:tcBorders>
            <w:shd w:val="clear" w:color="auto" w:fill="auto"/>
            <w:vAlign w:val="center"/>
          </w:tcPr>
          <w:p w14:paraId="6AFA7255" w14:textId="26264773" w:rsidR="00ED673F" w:rsidRPr="00ED673F" w:rsidRDefault="00ED673F" w:rsidP="000760E5">
            <w:pPr>
              <w:spacing w:before="40" w:after="40"/>
            </w:pPr>
            <w:r w:rsidRPr="00ED673F">
              <w:t xml:space="preserve">Parking fees is linked to CPI plus 0.25% per annum and fines by 2.0% per annum. </w:t>
            </w:r>
            <w:r w:rsidR="000760E5">
              <w:t xml:space="preserve">Introduction of </w:t>
            </w:r>
            <w:r w:rsidR="007B7E43">
              <w:t>Paid in F</w:t>
            </w:r>
            <w:r w:rsidR="000760E5">
              <w:t>BURA in</w:t>
            </w:r>
            <w:r w:rsidR="007B7E43">
              <w:t xml:space="preserve"> 2018/19 </w:t>
            </w:r>
            <w:r w:rsidR="000760E5">
              <w:t>expected to increase annual income by $2.4m.</w:t>
            </w:r>
            <w:r w:rsidR="007B7E43">
              <w:t xml:space="preserve"> </w:t>
            </w:r>
          </w:p>
        </w:tc>
      </w:tr>
      <w:tr w:rsidR="00ED673F" w:rsidRPr="00ED673F" w14:paraId="353EC997" w14:textId="77777777" w:rsidTr="00ED673F">
        <w:trPr>
          <w:trHeight w:val="441"/>
        </w:trPr>
        <w:tc>
          <w:tcPr>
            <w:tcW w:w="1661" w:type="dxa"/>
            <w:vMerge w:val="restart"/>
            <w:tcBorders>
              <w:top w:val="single" w:sz="4" w:space="0" w:color="auto"/>
              <w:left w:val="nil"/>
              <w:right w:val="nil"/>
            </w:tcBorders>
            <w:shd w:val="clear" w:color="auto" w:fill="auto"/>
          </w:tcPr>
          <w:p w14:paraId="37A4299E" w14:textId="77777777" w:rsidR="00ED673F" w:rsidRPr="00ED673F" w:rsidRDefault="00ED673F" w:rsidP="00ED673F">
            <w:pPr>
              <w:spacing w:before="40" w:after="40"/>
            </w:pPr>
            <w:r w:rsidRPr="00ED673F">
              <w:t>User fees and charges</w:t>
            </w:r>
          </w:p>
        </w:tc>
        <w:tc>
          <w:tcPr>
            <w:tcW w:w="1526" w:type="dxa"/>
            <w:tcBorders>
              <w:top w:val="single" w:sz="4" w:space="0" w:color="auto"/>
              <w:left w:val="nil"/>
              <w:bottom w:val="single" w:sz="4" w:space="0" w:color="auto"/>
              <w:right w:val="nil"/>
            </w:tcBorders>
            <w:shd w:val="clear" w:color="auto" w:fill="auto"/>
            <w:vAlign w:val="center"/>
          </w:tcPr>
          <w:p w14:paraId="2FDD735B" w14:textId="77777777" w:rsidR="00ED673F" w:rsidRPr="00ED673F" w:rsidRDefault="00ED673F" w:rsidP="00ED673F">
            <w:pPr>
              <w:spacing w:before="40" w:after="40"/>
              <w:jc w:val="center"/>
            </w:pPr>
            <w:r w:rsidRPr="00ED673F">
              <w:rPr>
                <w:b/>
              </w:rPr>
              <w:t>2018/19</w:t>
            </w:r>
          </w:p>
        </w:tc>
        <w:tc>
          <w:tcPr>
            <w:tcW w:w="1528" w:type="dxa"/>
            <w:tcBorders>
              <w:top w:val="single" w:sz="4" w:space="0" w:color="auto"/>
              <w:left w:val="nil"/>
              <w:bottom w:val="single" w:sz="4" w:space="0" w:color="auto"/>
              <w:right w:val="nil"/>
            </w:tcBorders>
            <w:shd w:val="clear" w:color="auto" w:fill="auto"/>
            <w:vAlign w:val="center"/>
          </w:tcPr>
          <w:p w14:paraId="5D9F458B" w14:textId="77777777" w:rsidR="00ED673F" w:rsidRPr="00ED673F" w:rsidRDefault="00ED673F" w:rsidP="00ED673F">
            <w:pPr>
              <w:spacing w:before="40" w:after="40"/>
              <w:jc w:val="center"/>
            </w:pPr>
            <w:r w:rsidRPr="00ED673F">
              <w:rPr>
                <w:b/>
              </w:rPr>
              <w:t>2019/20</w:t>
            </w:r>
          </w:p>
        </w:tc>
        <w:tc>
          <w:tcPr>
            <w:tcW w:w="1528" w:type="dxa"/>
            <w:tcBorders>
              <w:top w:val="single" w:sz="4" w:space="0" w:color="auto"/>
              <w:left w:val="nil"/>
              <w:bottom w:val="single" w:sz="4" w:space="0" w:color="auto"/>
              <w:right w:val="nil"/>
            </w:tcBorders>
            <w:shd w:val="clear" w:color="auto" w:fill="auto"/>
            <w:vAlign w:val="center"/>
          </w:tcPr>
          <w:p w14:paraId="423BDD62" w14:textId="77777777" w:rsidR="00ED673F" w:rsidRPr="00ED673F" w:rsidRDefault="00ED673F" w:rsidP="00ED673F">
            <w:pPr>
              <w:spacing w:before="40" w:after="40"/>
              <w:jc w:val="center"/>
            </w:pPr>
            <w:r w:rsidRPr="00ED673F">
              <w:rPr>
                <w:b/>
              </w:rPr>
              <w:t>2020/21</w:t>
            </w:r>
          </w:p>
        </w:tc>
        <w:tc>
          <w:tcPr>
            <w:tcW w:w="1528" w:type="dxa"/>
            <w:tcBorders>
              <w:top w:val="single" w:sz="4" w:space="0" w:color="auto"/>
              <w:left w:val="nil"/>
              <w:bottom w:val="single" w:sz="4" w:space="0" w:color="auto"/>
              <w:right w:val="single" w:sz="4" w:space="0" w:color="auto"/>
            </w:tcBorders>
            <w:shd w:val="clear" w:color="auto" w:fill="auto"/>
            <w:vAlign w:val="center"/>
          </w:tcPr>
          <w:p w14:paraId="0DA8C40F" w14:textId="77777777" w:rsidR="00ED673F" w:rsidRPr="00ED673F" w:rsidRDefault="00ED673F" w:rsidP="00ED673F">
            <w:pPr>
              <w:spacing w:before="40" w:after="40"/>
              <w:jc w:val="center"/>
            </w:pPr>
            <w:r w:rsidRPr="00ED673F">
              <w:rPr>
                <w:b/>
              </w:rPr>
              <w:t>2021/22</w:t>
            </w:r>
          </w:p>
        </w:tc>
        <w:tc>
          <w:tcPr>
            <w:tcW w:w="1917" w:type="dxa"/>
            <w:tcBorders>
              <w:top w:val="single" w:sz="4" w:space="0" w:color="auto"/>
              <w:left w:val="single" w:sz="4" w:space="0" w:color="auto"/>
              <w:bottom w:val="single" w:sz="4" w:space="0" w:color="auto"/>
              <w:right w:val="nil"/>
            </w:tcBorders>
            <w:shd w:val="clear" w:color="auto" w:fill="auto"/>
          </w:tcPr>
          <w:p w14:paraId="1E76238E" w14:textId="77777777" w:rsidR="00ED673F" w:rsidRPr="00ED673F" w:rsidRDefault="00ED673F" w:rsidP="00ED673F">
            <w:pPr>
              <w:spacing w:before="40" w:after="40"/>
              <w:jc w:val="center"/>
              <w:rPr>
                <w:b/>
              </w:rPr>
            </w:pPr>
            <w:r w:rsidRPr="00ED673F">
              <w:rPr>
                <w:b/>
              </w:rPr>
              <w:t>2027/28</w:t>
            </w:r>
          </w:p>
        </w:tc>
      </w:tr>
      <w:tr w:rsidR="00ED673F" w:rsidRPr="00ED673F" w14:paraId="3D7047A0" w14:textId="77777777" w:rsidTr="00ED673F">
        <w:trPr>
          <w:trHeight w:val="255"/>
        </w:trPr>
        <w:tc>
          <w:tcPr>
            <w:tcW w:w="1661" w:type="dxa"/>
            <w:vMerge/>
            <w:tcBorders>
              <w:left w:val="nil"/>
              <w:bottom w:val="single" w:sz="4" w:space="0" w:color="auto"/>
              <w:right w:val="nil"/>
            </w:tcBorders>
            <w:shd w:val="clear" w:color="auto" w:fill="auto"/>
          </w:tcPr>
          <w:p w14:paraId="44C878E0" w14:textId="77777777" w:rsidR="00ED673F" w:rsidRPr="00ED673F" w:rsidRDefault="00ED673F" w:rsidP="00ED673F">
            <w:pPr>
              <w:spacing w:before="40" w:after="40"/>
            </w:pPr>
          </w:p>
        </w:tc>
        <w:tc>
          <w:tcPr>
            <w:tcW w:w="6110" w:type="dxa"/>
            <w:gridSpan w:val="4"/>
            <w:tcBorders>
              <w:top w:val="single" w:sz="4" w:space="0" w:color="auto"/>
              <w:left w:val="nil"/>
              <w:bottom w:val="single" w:sz="4" w:space="0" w:color="auto"/>
              <w:right w:val="single" w:sz="4" w:space="0" w:color="auto"/>
            </w:tcBorders>
            <w:shd w:val="clear" w:color="auto" w:fill="auto"/>
            <w:vAlign w:val="center"/>
          </w:tcPr>
          <w:p w14:paraId="59D20D1A" w14:textId="77777777" w:rsidR="00ED673F" w:rsidRPr="00ED673F" w:rsidRDefault="00ED673F" w:rsidP="00ED673F">
            <w:pPr>
              <w:spacing w:before="40" w:after="40"/>
            </w:pPr>
            <w:r w:rsidRPr="00ED673F">
              <w:t>Increased by CPI plus 0.25% from 2018/19 to 2026/27</w:t>
            </w:r>
          </w:p>
        </w:tc>
        <w:tc>
          <w:tcPr>
            <w:tcW w:w="1917" w:type="dxa"/>
            <w:tcBorders>
              <w:top w:val="single" w:sz="4" w:space="0" w:color="auto"/>
              <w:left w:val="single" w:sz="4" w:space="0" w:color="auto"/>
              <w:bottom w:val="single" w:sz="4" w:space="0" w:color="auto"/>
              <w:right w:val="nil"/>
            </w:tcBorders>
            <w:vAlign w:val="center"/>
          </w:tcPr>
          <w:p w14:paraId="6A4D9594" w14:textId="77777777" w:rsidR="00ED673F" w:rsidRPr="00ED673F" w:rsidRDefault="00ED673F" w:rsidP="00ED673F">
            <w:pPr>
              <w:spacing w:before="40" w:after="40"/>
              <w:jc w:val="center"/>
            </w:pPr>
            <w:r w:rsidRPr="00ED673F">
              <w:t>CPI</w:t>
            </w:r>
          </w:p>
        </w:tc>
      </w:tr>
      <w:tr w:rsidR="00ED673F" w:rsidRPr="00ED673F" w14:paraId="74DAAF53" w14:textId="77777777" w:rsidTr="00ED673F">
        <w:trPr>
          <w:trHeight w:val="273"/>
        </w:trPr>
        <w:tc>
          <w:tcPr>
            <w:tcW w:w="1661" w:type="dxa"/>
            <w:tcBorders>
              <w:top w:val="single" w:sz="4" w:space="0" w:color="auto"/>
              <w:left w:val="nil"/>
              <w:bottom w:val="single" w:sz="4" w:space="0" w:color="auto"/>
              <w:right w:val="nil"/>
            </w:tcBorders>
            <w:shd w:val="clear" w:color="auto" w:fill="auto"/>
          </w:tcPr>
          <w:p w14:paraId="0A381D02" w14:textId="77777777" w:rsidR="00ED673F" w:rsidRPr="00ED673F" w:rsidRDefault="00ED673F" w:rsidP="00ED673F">
            <w:pPr>
              <w:spacing w:before="40" w:after="40"/>
            </w:pPr>
            <w:r w:rsidRPr="00ED673F">
              <w:t xml:space="preserve">Open space contributions </w:t>
            </w:r>
          </w:p>
        </w:tc>
        <w:tc>
          <w:tcPr>
            <w:tcW w:w="8027" w:type="dxa"/>
            <w:gridSpan w:val="5"/>
            <w:tcBorders>
              <w:top w:val="single" w:sz="4" w:space="0" w:color="auto"/>
              <w:left w:val="nil"/>
              <w:bottom w:val="single" w:sz="4" w:space="0" w:color="auto"/>
              <w:right w:val="nil"/>
            </w:tcBorders>
            <w:shd w:val="clear" w:color="auto" w:fill="auto"/>
            <w:vAlign w:val="center"/>
          </w:tcPr>
          <w:p w14:paraId="25BD93C5" w14:textId="77777777" w:rsidR="00ED673F" w:rsidRPr="00ED673F" w:rsidRDefault="00ED673F" w:rsidP="00ED673F">
            <w:pPr>
              <w:spacing w:before="40" w:after="40"/>
            </w:pPr>
            <w:r w:rsidRPr="00ED673F">
              <w:t>Remains constant at $4.1 million per annum plus forecast contributions from Fisherman’s Bend</w:t>
            </w:r>
          </w:p>
        </w:tc>
      </w:tr>
      <w:tr w:rsidR="00ED673F" w:rsidRPr="00ED673F" w14:paraId="79619CEB" w14:textId="77777777" w:rsidTr="00ED673F">
        <w:trPr>
          <w:trHeight w:val="279"/>
        </w:trPr>
        <w:tc>
          <w:tcPr>
            <w:tcW w:w="1661" w:type="dxa"/>
            <w:tcBorders>
              <w:top w:val="single" w:sz="4" w:space="0" w:color="auto"/>
              <w:left w:val="nil"/>
              <w:bottom w:val="single" w:sz="4" w:space="0" w:color="auto"/>
              <w:right w:val="nil"/>
            </w:tcBorders>
            <w:shd w:val="clear" w:color="auto" w:fill="auto"/>
          </w:tcPr>
          <w:p w14:paraId="0484FD4A" w14:textId="77777777" w:rsidR="00ED673F" w:rsidRPr="00ED673F" w:rsidRDefault="00ED673F" w:rsidP="00ED673F">
            <w:pPr>
              <w:spacing w:before="40" w:after="40"/>
            </w:pPr>
            <w:r w:rsidRPr="00ED673F">
              <w:t>Government grants</w:t>
            </w:r>
          </w:p>
        </w:tc>
        <w:tc>
          <w:tcPr>
            <w:tcW w:w="8027" w:type="dxa"/>
            <w:gridSpan w:val="5"/>
            <w:tcBorders>
              <w:top w:val="single" w:sz="4" w:space="0" w:color="auto"/>
              <w:left w:val="nil"/>
              <w:bottom w:val="single" w:sz="4" w:space="0" w:color="auto"/>
              <w:right w:val="nil"/>
            </w:tcBorders>
            <w:shd w:val="clear" w:color="auto" w:fill="auto"/>
            <w:vAlign w:val="center"/>
          </w:tcPr>
          <w:p w14:paraId="7CF5B65A" w14:textId="77777777" w:rsidR="00ED673F" w:rsidRPr="00ED673F" w:rsidRDefault="00ED673F" w:rsidP="00ED673F">
            <w:pPr>
              <w:spacing w:before="40" w:after="40"/>
            </w:pPr>
            <w:r w:rsidRPr="00ED673F">
              <w:t>Operating grants increased by CPI. Capital grants identified for projects in the first four years and a $1.3 million provision in the out-years.</w:t>
            </w:r>
          </w:p>
        </w:tc>
      </w:tr>
      <w:tr w:rsidR="00ED673F" w:rsidRPr="00ED673F" w14:paraId="5FF5DC69" w14:textId="77777777" w:rsidTr="00ED673F">
        <w:trPr>
          <w:trHeight w:val="349"/>
        </w:trPr>
        <w:tc>
          <w:tcPr>
            <w:tcW w:w="1661" w:type="dxa"/>
            <w:vMerge w:val="restart"/>
            <w:tcBorders>
              <w:top w:val="single" w:sz="4" w:space="0" w:color="auto"/>
              <w:left w:val="nil"/>
              <w:right w:val="nil"/>
            </w:tcBorders>
            <w:shd w:val="clear" w:color="auto" w:fill="auto"/>
          </w:tcPr>
          <w:p w14:paraId="30CDD7E3" w14:textId="77777777" w:rsidR="00ED673F" w:rsidRPr="00ED673F" w:rsidRDefault="00ED673F" w:rsidP="00ED673F">
            <w:pPr>
              <w:spacing w:before="40" w:after="40"/>
            </w:pPr>
            <w:r w:rsidRPr="00ED673F">
              <w:t>Interest received</w:t>
            </w:r>
          </w:p>
        </w:tc>
        <w:tc>
          <w:tcPr>
            <w:tcW w:w="1526" w:type="dxa"/>
            <w:tcBorders>
              <w:top w:val="single" w:sz="4" w:space="0" w:color="auto"/>
              <w:left w:val="nil"/>
              <w:bottom w:val="single" w:sz="4" w:space="0" w:color="auto"/>
              <w:right w:val="nil"/>
            </w:tcBorders>
            <w:shd w:val="clear" w:color="auto" w:fill="auto"/>
            <w:vAlign w:val="center"/>
          </w:tcPr>
          <w:p w14:paraId="63DFE452" w14:textId="77777777" w:rsidR="00ED673F" w:rsidRPr="00ED673F" w:rsidRDefault="00ED673F" w:rsidP="00ED673F">
            <w:pPr>
              <w:spacing w:before="40" w:after="40"/>
              <w:jc w:val="center"/>
            </w:pPr>
            <w:r w:rsidRPr="00ED673F">
              <w:rPr>
                <w:b/>
              </w:rPr>
              <w:t>2018/19</w:t>
            </w:r>
          </w:p>
        </w:tc>
        <w:tc>
          <w:tcPr>
            <w:tcW w:w="1528" w:type="dxa"/>
            <w:tcBorders>
              <w:top w:val="single" w:sz="4" w:space="0" w:color="auto"/>
              <w:left w:val="nil"/>
              <w:bottom w:val="single" w:sz="4" w:space="0" w:color="auto"/>
              <w:right w:val="nil"/>
            </w:tcBorders>
            <w:shd w:val="clear" w:color="auto" w:fill="auto"/>
            <w:vAlign w:val="center"/>
          </w:tcPr>
          <w:p w14:paraId="1F471B39" w14:textId="77777777" w:rsidR="00ED673F" w:rsidRPr="00ED673F" w:rsidRDefault="00ED673F" w:rsidP="00ED673F">
            <w:pPr>
              <w:spacing w:before="40" w:after="40"/>
              <w:jc w:val="center"/>
            </w:pPr>
            <w:r w:rsidRPr="00ED673F">
              <w:rPr>
                <w:b/>
              </w:rPr>
              <w:t>2019/20</w:t>
            </w:r>
          </w:p>
        </w:tc>
        <w:tc>
          <w:tcPr>
            <w:tcW w:w="1528" w:type="dxa"/>
            <w:tcBorders>
              <w:top w:val="single" w:sz="4" w:space="0" w:color="auto"/>
              <w:left w:val="nil"/>
              <w:bottom w:val="single" w:sz="4" w:space="0" w:color="auto"/>
              <w:right w:val="nil"/>
            </w:tcBorders>
            <w:shd w:val="clear" w:color="auto" w:fill="auto"/>
            <w:vAlign w:val="center"/>
          </w:tcPr>
          <w:p w14:paraId="05EC0FBC" w14:textId="77777777" w:rsidR="00ED673F" w:rsidRPr="00ED673F" w:rsidRDefault="00ED673F" w:rsidP="00ED673F">
            <w:pPr>
              <w:spacing w:before="40" w:after="40"/>
              <w:jc w:val="center"/>
            </w:pPr>
            <w:r w:rsidRPr="00ED673F">
              <w:rPr>
                <w:b/>
              </w:rPr>
              <w:t>2020/21</w:t>
            </w:r>
          </w:p>
        </w:tc>
        <w:tc>
          <w:tcPr>
            <w:tcW w:w="1528" w:type="dxa"/>
            <w:tcBorders>
              <w:top w:val="single" w:sz="4" w:space="0" w:color="auto"/>
              <w:left w:val="nil"/>
              <w:bottom w:val="single" w:sz="4" w:space="0" w:color="auto"/>
              <w:right w:val="single" w:sz="4" w:space="0" w:color="auto"/>
            </w:tcBorders>
            <w:shd w:val="clear" w:color="auto" w:fill="auto"/>
            <w:vAlign w:val="center"/>
          </w:tcPr>
          <w:p w14:paraId="4C245159" w14:textId="77777777" w:rsidR="00ED673F" w:rsidRPr="00ED673F" w:rsidRDefault="00ED673F" w:rsidP="00ED673F">
            <w:pPr>
              <w:spacing w:before="40" w:after="40"/>
              <w:jc w:val="center"/>
            </w:pPr>
            <w:r w:rsidRPr="00ED673F">
              <w:rPr>
                <w:b/>
              </w:rPr>
              <w:t>2021/22</w:t>
            </w:r>
          </w:p>
        </w:tc>
        <w:tc>
          <w:tcPr>
            <w:tcW w:w="1917" w:type="dxa"/>
            <w:tcBorders>
              <w:top w:val="single" w:sz="4" w:space="0" w:color="auto"/>
              <w:left w:val="single" w:sz="4" w:space="0" w:color="auto"/>
              <w:bottom w:val="single" w:sz="4" w:space="0" w:color="auto"/>
              <w:right w:val="nil"/>
            </w:tcBorders>
          </w:tcPr>
          <w:p w14:paraId="2851AA0F" w14:textId="77777777" w:rsidR="00ED673F" w:rsidRPr="00ED673F" w:rsidRDefault="00ED673F" w:rsidP="00ED673F">
            <w:pPr>
              <w:spacing w:before="40" w:after="40"/>
              <w:jc w:val="center"/>
              <w:rPr>
                <w:b/>
              </w:rPr>
            </w:pPr>
            <w:r w:rsidRPr="00ED673F">
              <w:rPr>
                <w:b/>
              </w:rPr>
              <w:t>2027/28</w:t>
            </w:r>
          </w:p>
        </w:tc>
      </w:tr>
      <w:tr w:rsidR="00ED673F" w:rsidRPr="00ED673F" w14:paraId="7CB22252" w14:textId="77777777" w:rsidTr="00ED673F">
        <w:trPr>
          <w:trHeight w:val="482"/>
        </w:trPr>
        <w:tc>
          <w:tcPr>
            <w:tcW w:w="1661" w:type="dxa"/>
            <w:vMerge/>
            <w:tcBorders>
              <w:left w:val="nil"/>
              <w:right w:val="nil"/>
            </w:tcBorders>
            <w:shd w:val="clear" w:color="auto" w:fill="auto"/>
            <w:vAlign w:val="center"/>
          </w:tcPr>
          <w:p w14:paraId="7615959D" w14:textId="77777777" w:rsidR="00ED673F" w:rsidRPr="00ED673F" w:rsidRDefault="00ED673F" w:rsidP="00ED673F">
            <w:pPr>
              <w:spacing w:before="40" w:after="40"/>
            </w:pPr>
          </w:p>
        </w:tc>
        <w:tc>
          <w:tcPr>
            <w:tcW w:w="1526" w:type="dxa"/>
            <w:tcBorders>
              <w:top w:val="single" w:sz="4" w:space="0" w:color="auto"/>
              <w:left w:val="nil"/>
              <w:bottom w:val="single" w:sz="4" w:space="0" w:color="auto"/>
              <w:right w:val="nil"/>
            </w:tcBorders>
            <w:shd w:val="clear" w:color="auto" w:fill="auto"/>
            <w:vAlign w:val="center"/>
          </w:tcPr>
          <w:p w14:paraId="35199056" w14:textId="77777777" w:rsidR="00ED673F" w:rsidRPr="00ED673F" w:rsidRDefault="00ED673F" w:rsidP="00ED673F">
            <w:pPr>
              <w:spacing w:before="40" w:after="40"/>
              <w:jc w:val="center"/>
            </w:pPr>
            <w:r w:rsidRPr="00ED673F">
              <w:t>2.40%</w:t>
            </w:r>
          </w:p>
        </w:tc>
        <w:tc>
          <w:tcPr>
            <w:tcW w:w="1528" w:type="dxa"/>
            <w:tcBorders>
              <w:top w:val="single" w:sz="4" w:space="0" w:color="auto"/>
              <w:left w:val="nil"/>
              <w:bottom w:val="single" w:sz="4" w:space="0" w:color="auto"/>
              <w:right w:val="nil"/>
            </w:tcBorders>
            <w:shd w:val="clear" w:color="auto" w:fill="auto"/>
            <w:vAlign w:val="center"/>
          </w:tcPr>
          <w:p w14:paraId="30C30717" w14:textId="77777777" w:rsidR="00ED673F" w:rsidRPr="00ED673F" w:rsidRDefault="00ED673F" w:rsidP="00ED673F">
            <w:pPr>
              <w:spacing w:before="40" w:after="40"/>
              <w:jc w:val="center"/>
            </w:pPr>
            <w:r w:rsidRPr="00ED673F">
              <w:t>2.90%</w:t>
            </w:r>
          </w:p>
        </w:tc>
        <w:tc>
          <w:tcPr>
            <w:tcW w:w="1528" w:type="dxa"/>
            <w:tcBorders>
              <w:top w:val="single" w:sz="4" w:space="0" w:color="auto"/>
              <w:left w:val="nil"/>
              <w:bottom w:val="single" w:sz="4" w:space="0" w:color="auto"/>
              <w:right w:val="nil"/>
            </w:tcBorders>
            <w:shd w:val="clear" w:color="auto" w:fill="auto"/>
            <w:vAlign w:val="center"/>
          </w:tcPr>
          <w:p w14:paraId="44F3BAA6" w14:textId="77777777" w:rsidR="00ED673F" w:rsidRPr="00ED673F" w:rsidRDefault="00ED673F" w:rsidP="00ED673F">
            <w:pPr>
              <w:spacing w:before="40" w:after="40"/>
              <w:jc w:val="center"/>
            </w:pPr>
            <w:r w:rsidRPr="00ED673F">
              <w:t>3.50%</w:t>
            </w:r>
          </w:p>
        </w:tc>
        <w:tc>
          <w:tcPr>
            <w:tcW w:w="1528" w:type="dxa"/>
            <w:tcBorders>
              <w:top w:val="single" w:sz="4" w:space="0" w:color="auto"/>
              <w:left w:val="nil"/>
              <w:bottom w:val="single" w:sz="4" w:space="0" w:color="auto"/>
              <w:right w:val="single" w:sz="4" w:space="0" w:color="auto"/>
            </w:tcBorders>
            <w:shd w:val="clear" w:color="auto" w:fill="auto"/>
            <w:vAlign w:val="center"/>
          </w:tcPr>
          <w:p w14:paraId="554C3C1C" w14:textId="77777777" w:rsidR="00ED673F" w:rsidRPr="00ED673F" w:rsidRDefault="00ED673F" w:rsidP="00ED673F">
            <w:pPr>
              <w:spacing w:before="40" w:after="40"/>
              <w:jc w:val="center"/>
            </w:pPr>
            <w:r w:rsidRPr="00ED673F">
              <w:t>3.80%</w:t>
            </w:r>
          </w:p>
        </w:tc>
        <w:tc>
          <w:tcPr>
            <w:tcW w:w="1917" w:type="dxa"/>
            <w:tcBorders>
              <w:top w:val="single" w:sz="4" w:space="0" w:color="auto"/>
              <w:left w:val="single" w:sz="4" w:space="0" w:color="auto"/>
              <w:bottom w:val="single" w:sz="4" w:space="0" w:color="auto"/>
              <w:right w:val="nil"/>
            </w:tcBorders>
            <w:vAlign w:val="center"/>
          </w:tcPr>
          <w:p w14:paraId="68AAD4C9" w14:textId="77777777" w:rsidR="00ED673F" w:rsidRPr="00ED673F" w:rsidRDefault="00ED673F" w:rsidP="00ED673F">
            <w:pPr>
              <w:spacing w:before="40" w:after="40"/>
              <w:jc w:val="center"/>
            </w:pPr>
            <w:r w:rsidRPr="00ED673F">
              <w:t>3.80%</w:t>
            </w:r>
          </w:p>
        </w:tc>
      </w:tr>
      <w:tr w:rsidR="00ED673F" w:rsidRPr="00ED673F" w14:paraId="7D997105" w14:textId="77777777" w:rsidTr="00ED673F">
        <w:trPr>
          <w:trHeight w:val="150"/>
        </w:trPr>
        <w:tc>
          <w:tcPr>
            <w:tcW w:w="1661" w:type="dxa"/>
            <w:vMerge/>
            <w:tcBorders>
              <w:left w:val="nil"/>
              <w:bottom w:val="single" w:sz="4" w:space="0" w:color="auto"/>
              <w:right w:val="nil"/>
            </w:tcBorders>
            <w:shd w:val="clear" w:color="auto" w:fill="auto"/>
            <w:vAlign w:val="center"/>
          </w:tcPr>
          <w:p w14:paraId="58DB94EE" w14:textId="77777777" w:rsidR="00ED673F" w:rsidRPr="00ED673F" w:rsidRDefault="00ED673F" w:rsidP="00ED673F">
            <w:pPr>
              <w:spacing w:before="40" w:after="40"/>
            </w:pPr>
          </w:p>
        </w:tc>
        <w:tc>
          <w:tcPr>
            <w:tcW w:w="8027" w:type="dxa"/>
            <w:gridSpan w:val="5"/>
            <w:tcBorders>
              <w:top w:val="nil"/>
              <w:left w:val="nil"/>
              <w:bottom w:val="single" w:sz="4" w:space="0" w:color="auto"/>
              <w:right w:val="nil"/>
            </w:tcBorders>
            <w:shd w:val="clear" w:color="auto" w:fill="auto"/>
            <w:vAlign w:val="center"/>
          </w:tcPr>
          <w:p w14:paraId="7AED5316" w14:textId="77777777" w:rsidR="00ED673F" w:rsidRPr="00ED673F" w:rsidRDefault="00ED673F" w:rsidP="00ED673F">
            <w:pPr>
              <w:spacing w:before="40" w:after="40"/>
            </w:pPr>
            <w:r w:rsidRPr="00ED673F">
              <w:t>Based on the Deloitte Access Economic Business Outlook forecast for the 90 day bank bill rate plus 50 basis points.</w:t>
            </w:r>
          </w:p>
        </w:tc>
      </w:tr>
    </w:tbl>
    <w:p w14:paraId="0291BABE" w14:textId="77777777" w:rsidR="00ED673F" w:rsidRPr="00ED673F" w:rsidRDefault="00ED673F" w:rsidP="00ED673F"/>
    <w:tbl>
      <w:tblPr>
        <w:tblW w:w="9972" w:type="dxa"/>
        <w:tblInd w:w="93" w:type="dxa"/>
        <w:tblLook w:val="0000" w:firstRow="0" w:lastRow="0" w:firstColumn="0" w:lastColumn="0" w:noHBand="0" w:noVBand="0"/>
      </w:tblPr>
      <w:tblGrid>
        <w:gridCol w:w="2317"/>
        <w:gridCol w:w="7655"/>
      </w:tblGrid>
      <w:tr w:rsidR="00ED673F" w:rsidRPr="00ED673F" w14:paraId="4BDB341E" w14:textId="77777777" w:rsidTr="00461C0A">
        <w:trPr>
          <w:trHeight w:val="496"/>
        </w:trPr>
        <w:tc>
          <w:tcPr>
            <w:tcW w:w="2317" w:type="dxa"/>
            <w:tcBorders>
              <w:top w:val="single" w:sz="4" w:space="0" w:color="auto"/>
              <w:left w:val="nil"/>
              <w:right w:val="nil"/>
            </w:tcBorders>
            <w:shd w:val="clear" w:color="auto" w:fill="008080"/>
            <w:vAlign w:val="center"/>
          </w:tcPr>
          <w:p w14:paraId="2BB5AA1F" w14:textId="77777777" w:rsidR="00ED673F" w:rsidRPr="00ED673F" w:rsidRDefault="00ED673F" w:rsidP="00ED673F">
            <w:pPr>
              <w:spacing w:before="40" w:after="40"/>
              <w:rPr>
                <w:b/>
                <w:bCs/>
                <w:color w:val="FFFFFF"/>
              </w:rPr>
            </w:pPr>
            <w:r w:rsidRPr="00ED673F">
              <w:rPr>
                <w:b/>
                <w:color w:val="FFFFFF"/>
              </w:rPr>
              <w:t>Assumption</w:t>
            </w:r>
          </w:p>
        </w:tc>
        <w:tc>
          <w:tcPr>
            <w:tcW w:w="7655" w:type="dxa"/>
            <w:tcBorders>
              <w:top w:val="single" w:sz="4" w:space="0" w:color="auto"/>
              <w:left w:val="nil"/>
              <w:right w:val="nil"/>
            </w:tcBorders>
            <w:shd w:val="clear" w:color="auto" w:fill="008080"/>
            <w:vAlign w:val="center"/>
          </w:tcPr>
          <w:p w14:paraId="734C2959" w14:textId="77777777" w:rsidR="00ED673F" w:rsidRPr="00ED673F" w:rsidRDefault="00ED673F" w:rsidP="00ED673F">
            <w:pPr>
              <w:spacing w:before="40" w:after="40"/>
              <w:rPr>
                <w:b/>
                <w:bCs/>
                <w:color w:val="FFFFFF"/>
              </w:rPr>
            </w:pPr>
            <w:r w:rsidRPr="00ED673F">
              <w:rPr>
                <w:b/>
                <w:bCs/>
                <w:color w:val="FFFFFF"/>
              </w:rPr>
              <w:t>Rationale</w:t>
            </w:r>
          </w:p>
        </w:tc>
      </w:tr>
      <w:tr w:rsidR="00ED673F" w:rsidRPr="00ED673F" w14:paraId="4F606934" w14:textId="77777777" w:rsidTr="00461C0A">
        <w:trPr>
          <w:trHeight w:val="473"/>
        </w:trPr>
        <w:tc>
          <w:tcPr>
            <w:tcW w:w="2317" w:type="dxa"/>
            <w:tcBorders>
              <w:top w:val="single" w:sz="4" w:space="0" w:color="auto"/>
              <w:left w:val="nil"/>
              <w:bottom w:val="single" w:sz="4" w:space="0" w:color="auto"/>
              <w:right w:val="nil"/>
            </w:tcBorders>
            <w:shd w:val="clear" w:color="auto" w:fill="auto"/>
          </w:tcPr>
          <w:p w14:paraId="336B353F" w14:textId="77777777" w:rsidR="00ED673F" w:rsidRPr="00ED673F" w:rsidRDefault="00ED673F" w:rsidP="00ED673F">
            <w:pPr>
              <w:spacing w:before="40" w:after="40"/>
            </w:pPr>
            <w:r w:rsidRPr="00ED673F">
              <w:t>Employee costs</w:t>
            </w:r>
          </w:p>
        </w:tc>
        <w:tc>
          <w:tcPr>
            <w:tcW w:w="7655" w:type="dxa"/>
            <w:tcBorders>
              <w:top w:val="single" w:sz="4" w:space="0" w:color="auto"/>
              <w:left w:val="nil"/>
              <w:bottom w:val="single" w:sz="4" w:space="0" w:color="auto"/>
              <w:right w:val="nil"/>
            </w:tcBorders>
            <w:shd w:val="clear" w:color="auto" w:fill="auto"/>
          </w:tcPr>
          <w:p w14:paraId="32E67D44" w14:textId="77777777" w:rsidR="00ED673F" w:rsidRPr="00ED673F" w:rsidRDefault="00ED673F" w:rsidP="00ED673F">
            <w:pPr>
              <w:spacing w:before="40" w:after="40"/>
            </w:pPr>
            <w:r w:rsidRPr="00ED673F">
              <w:t xml:space="preserve">Employee benefits to increase by 2.0% for 2018/19 (last year of the current EBA) and the out-years linked to the annual rates cap.  </w:t>
            </w:r>
          </w:p>
        </w:tc>
      </w:tr>
      <w:tr w:rsidR="00ED673F" w:rsidRPr="00ED673F" w14:paraId="68BB7741" w14:textId="77777777" w:rsidTr="00461C0A">
        <w:trPr>
          <w:trHeight w:val="473"/>
        </w:trPr>
        <w:tc>
          <w:tcPr>
            <w:tcW w:w="2317" w:type="dxa"/>
            <w:tcBorders>
              <w:top w:val="single" w:sz="4" w:space="0" w:color="auto"/>
              <w:left w:val="nil"/>
              <w:bottom w:val="single" w:sz="4" w:space="0" w:color="auto"/>
              <w:right w:val="nil"/>
            </w:tcBorders>
            <w:shd w:val="clear" w:color="auto" w:fill="auto"/>
          </w:tcPr>
          <w:p w14:paraId="40B0BF04" w14:textId="77777777" w:rsidR="00ED673F" w:rsidRPr="00ED673F" w:rsidRDefault="00ED673F" w:rsidP="00ED673F">
            <w:pPr>
              <w:spacing w:before="40" w:after="40"/>
            </w:pPr>
            <w:r w:rsidRPr="00ED673F">
              <w:t>Contract services, utility costs, professional services, materials and other expenditure</w:t>
            </w:r>
          </w:p>
        </w:tc>
        <w:tc>
          <w:tcPr>
            <w:tcW w:w="7655" w:type="dxa"/>
            <w:tcBorders>
              <w:top w:val="single" w:sz="4" w:space="0" w:color="auto"/>
              <w:left w:val="nil"/>
              <w:bottom w:val="single" w:sz="4" w:space="0" w:color="auto"/>
              <w:right w:val="nil"/>
            </w:tcBorders>
            <w:shd w:val="clear" w:color="auto" w:fill="auto"/>
          </w:tcPr>
          <w:p w14:paraId="579CCF19" w14:textId="77777777" w:rsidR="00ED673F" w:rsidRPr="00ED673F" w:rsidRDefault="00ED673F" w:rsidP="00ED673F">
            <w:pPr>
              <w:spacing w:before="40" w:after="40"/>
            </w:pPr>
            <w:r w:rsidRPr="00ED673F">
              <w:t>Increased by CPI or contractual arrangements.</w:t>
            </w:r>
          </w:p>
          <w:p w14:paraId="35C1D956" w14:textId="5140AAFF" w:rsidR="00ED673F" w:rsidRPr="00ED673F" w:rsidRDefault="00ED673F" w:rsidP="00ED673F">
            <w:pPr>
              <w:spacing w:before="40" w:after="40"/>
            </w:pPr>
            <w:r w:rsidRPr="00ED673F">
              <w:t>Utility costs are expected to be higher than CPI at 3.28% per annum based on forecasts from Australian Energy Market Operators. Further energy sustainability investments</w:t>
            </w:r>
            <w:r w:rsidR="0002705F">
              <w:t xml:space="preserve"> including Melbourne Renewaable Energy Project</w:t>
            </w:r>
            <w:r w:rsidRPr="00ED673F">
              <w:t xml:space="preserve"> will increase utility costs by </w:t>
            </w:r>
            <w:r w:rsidR="0002705F">
              <w:t xml:space="preserve">approximately </w:t>
            </w:r>
            <w:r w:rsidRPr="00ED673F">
              <w:t>$200,000 from 2018/19.</w:t>
            </w:r>
          </w:p>
        </w:tc>
      </w:tr>
      <w:tr w:rsidR="00ED673F" w:rsidRPr="00ED673F" w14:paraId="328E557F" w14:textId="77777777" w:rsidTr="00461C0A">
        <w:trPr>
          <w:trHeight w:val="473"/>
        </w:trPr>
        <w:tc>
          <w:tcPr>
            <w:tcW w:w="2317" w:type="dxa"/>
            <w:tcBorders>
              <w:top w:val="single" w:sz="4" w:space="0" w:color="auto"/>
              <w:left w:val="nil"/>
              <w:bottom w:val="single" w:sz="4" w:space="0" w:color="auto"/>
              <w:right w:val="nil"/>
            </w:tcBorders>
            <w:shd w:val="clear" w:color="auto" w:fill="auto"/>
          </w:tcPr>
          <w:p w14:paraId="7ADAEF99" w14:textId="77777777" w:rsidR="00ED673F" w:rsidRPr="00ED673F" w:rsidRDefault="00ED673F" w:rsidP="00ED673F">
            <w:pPr>
              <w:spacing w:before="40" w:after="40"/>
            </w:pPr>
            <w:r w:rsidRPr="00ED673F">
              <w:t>Service growth</w:t>
            </w:r>
          </w:p>
        </w:tc>
        <w:tc>
          <w:tcPr>
            <w:tcW w:w="7655" w:type="dxa"/>
            <w:tcBorders>
              <w:top w:val="single" w:sz="4" w:space="0" w:color="auto"/>
              <w:left w:val="nil"/>
              <w:bottom w:val="single" w:sz="4" w:space="0" w:color="auto"/>
              <w:right w:val="nil"/>
            </w:tcBorders>
            <w:shd w:val="clear" w:color="auto" w:fill="auto"/>
          </w:tcPr>
          <w:p w14:paraId="3C26AB81" w14:textId="77777777" w:rsidR="00ED673F" w:rsidRPr="00ED673F" w:rsidRDefault="00ED673F" w:rsidP="00ED673F">
            <w:pPr>
              <w:spacing w:before="40" w:after="40"/>
            </w:pPr>
            <w:r w:rsidRPr="00ED673F">
              <w:t>The cost of service growth is equivalent to the increase in rates revenue attributable to increase in the rates base (that is, it is assumed that the benefit of new assessments is wholly offset by the cost to service them).</w:t>
            </w:r>
          </w:p>
        </w:tc>
      </w:tr>
      <w:tr w:rsidR="00ED673F" w:rsidRPr="00ED673F" w14:paraId="5205F534" w14:textId="77777777" w:rsidTr="00461C0A">
        <w:trPr>
          <w:trHeight w:val="423"/>
        </w:trPr>
        <w:tc>
          <w:tcPr>
            <w:tcW w:w="2317" w:type="dxa"/>
            <w:tcBorders>
              <w:top w:val="single" w:sz="4" w:space="0" w:color="auto"/>
              <w:left w:val="nil"/>
              <w:right w:val="nil"/>
            </w:tcBorders>
            <w:shd w:val="clear" w:color="auto" w:fill="auto"/>
          </w:tcPr>
          <w:p w14:paraId="1972B69E" w14:textId="77777777" w:rsidR="00ED673F" w:rsidRPr="00ED673F" w:rsidRDefault="00ED673F" w:rsidP="00ED673F">
            <w:pPr>
              <w:spacing w:before="40" w:after="40"/>
            </w:pPr>
            <w:r w:rsidRPr="00ED673F">
              <w:t>Depreciation</w:t>
            </w:r>
          </w:p>
        </w:tc>
        <w:tc>
          <w:tcPr>
            <w:tcW w:w="7655" w:type="dxa"/>
            <w:tcBorders>
              <w:top w:val="single" w:sz="4" w:space="0" w:color="auto"/>
              <w:left w:val="nil"/>
              <w:right w:val="nil"/>
            </w:tcBorders>
            <w:shd w:val="clear" w:color="auto" w:fill="auto"/>
          </w:tcPr>
          <w:p w14:paraId="60D477D4" w14:textId="77777777" w:rsidR="00ED673F" w:rsidRPr="00ED673F" w:rsidRDefault="00ED673F" w:rsidP="00ED673F">
            <w:pPr>
              <w:spacing w:before="40" w:after="40"/>
            </w:pPr>
            <w:r w:rsidRPr="00ED673F">
              <w:t>Depreciation has been increased as a product of new assets being created consistent with the planned capital program.</w:t>
            </w:r>
          </w:p>
        </w:tc>
      </w:tr>
      <w:tr w:rsidR="00ED673F" w:rsidRPr="00ED673F" w14:paraId="09CCEEE4" w14:textId="77777777" w:rsidTr="00461C0A">
        <w:trPr>
          <w:trHeight w:val="423"/>
        </w:trPr>
        <w:tc>
          <w:tcPr>
            <w:tcW w:w="2317" w:type="dxa"/>
            <w:tcBorders>
              <w:top w:val="single" w:sz="4" w:space="0" w:color="auto"/>
              <w:left w:val="nil"/>
              <w:bottom w:val="single" w:sz="4" w:space="0" w:color="auto"/>
              <w:right w:val="nil"/>
            </w:tcBorders>
            <w:shd w:val="clear" w:color="auto" w:fill="auto"/>
          </w:tcPr>
          <w:p w14:paraId="499CA907" w14:textId="77777777" w:rsidR="00ED673F" w:rsidRPr="00ED673F" w:rsidRDefault="00ED673F" w:rsidP="00ED673F">
            <w:pPr>
              <w:spacing w:before="40" w:after="40"/>
            </w:pPr>
            <w:r w:rsidRPr="00ED673F">
              <w:t>Operating projects</w:t>
            </w:r>
          </w:p>
        </w:tc>
        <w:tc>
          <w:tcPr>
            <w:tcW w:w="7655" w:type="dxa"/>
            <w:tcBorders>
              <w:top w:val="single" w:sz="4" w:space="0" w:color="auto"/>
              <w:left w:val="nil"/>
              <w:bottom w:val="single" w:sz="4" w:space="0" w:color="auto"/>
              <w:right w:val="nil"/>
            </w:tcBorders>
            <w:shd w:val="clear" w:color="auto" w:fill="auto"/>
          </w:tcPr>
          <w:p w14:paraId="1A0D42EB" w14:textId="77777777" w:rsidR="00ED673F" w:rsidRPr="00ED673F" w:rsidRDefault="00ED673F" w:rsidP="00ED673F">
            <w:pPr>
              <w:spacing w:before="40" w:after="40"/>
            </w:pPr>
            <w:r w:rsidRPr="00ED673F">
              <w:t>Total operating projects to be capped to $4.2 million from 2017/18 and increases by annual CPI.</w:t>
            </w:r>
          </w:p>
        </w:tc>
      </w:tr>
      <w:tr w:rsidR="00ED673F" w:rsidRPr="00ED673F" w14:paraId="1EC43703" w14:textId="77777777" w:rsidTr="00461C0A">
        <w:trPr>
          <w:trHeight w:val="423"/>
        </w:trPr>
        <w:tc>
          <w:tcPr>
            <w:tcW w:w="2317" w:type="dxa"/>
            <w:tcBorders>
              <w:top w:val="single" w:sz="4" w:space="0" w:color="auto"/>
              <w:left w:val="nil"/>
              <w:bottom w:val="single" w:sz="4" w:space="0" w:color="auto"/>
              <w:right w:val="nil"/>
            </w:tcBorders>
            <w:shd w:val="clear" w:color="auto" w:fill="auto"/>
          </w:tcPr>
          <w:p w14:paraId="15F5592D" w14:textId="77777777" w:rsidR="00ED673F" w:rsidRPr="00ED673F" w:rsidRDefault="00ED673F" w:rsidP="00ED673F">
            <w:pPr>
              <w:spacing w:before="40" w:after="40"/>
            </w:pPr>
            <w:r w:rsidRPr="00ED673F">
              <w:t>Capital projects</w:t>
            </w:r>
          </w:p>
        </w:tc>
        <w:tc>
          <w:tcPr>
            <w:tcW w:w="7655" w:type="dxa"/>
            <w:tcBorders>
              <w:top w:val="single" w:sz="4" w:space="0" w:color="auto"/>
              <w:left w:val="nil"/>
              <w:bottom w:val="single" w:sz="4" w:space="0" w:color="auto"/>
              <w:right w:val="nil"/>
            </w:tcBorders>
            <w:shd w:val="clear" w:color="auto" w:fill="auto"/>
          </w:tcPr>
          <w:p w14:paraId="006ADD9B" w14:textId="77777777" w:rsidR="00ED673F" w:rsidRPr="00ED673F" w:rsidRDefault="00ED673F" w:rsidP="00ED673F">
            <w:pPr>
              <w:spacing w:before="40" w:after="40"/>
            </w:pPr>
            <w:r w:rsidRPr="00ED673F">
              <w:t>An allowance of $43.7 million in 2018/19, escalated by annual CPI, increases due to renewals expenditure based on an increase in Council’s asset base, and increases due to service growth. Annual capital project budgets will target renewal gap ratio greater than 100% and capital replacement ratio greater than 150%.</w:t>
            </w:r>
          </w:p>
        </w:tc>
      </w:tr>
      <w:tr w:rsidR="00ED673F" w:rsidRPr="00ED673F" w14:paraId="5A18823E" w14:textId="77777777" w:rsidTr="00461C0A">
        <w:trPr>
          <w:trHeight w:val="423"/>
        </w:trPr>
        <w:tc>
          <w:tcPr>
            <w:tcW w:w="2317" w:type="dxa"/>
            <w:tcBorders>
              <w:top w:val="single" w:sz="4" w:space="0" w:color="auto"/>
              <w:left w:val="nil"/>
              <w:bottom w:val="single" w:sz="4" w:space="0" w:color="auto"/>
              <w:right w:val="nil"/>
            </w:tcBorders>
            <w:shd w:val="clear" w:color="auto" w:fill="auto"/>
          </w:tcPr>
          <w:p w14:paraId="687F2E4D" w14:textId="77777777" w:rsidR="00ED673F" w:rsidRPr="00ED673F" w:rsidRDefault="00ED673F" w:rsidP="00ED673F">
            <w:pPr>
              <w:spacing w:before="40" w:after="40"/>
            </w:pPr>
            <w:r w:rsidRPr="00ED673F">
              <w:t>Borrowings</w:t>
            </w:r>
          </w:p>
        </w:tc>
        <w:tc>
          <w:tcPr>
            <w:tcW w:w="7655" w:type="dxa"/>
            <w:tcBorders>
              <w:top w:val="single" w:sz="4" w:space="0" w:color="auto"/>
              <w:left w:val="nil"/>
              <w:bottom w:val="single" w:sz="4" w:space="0" w:color="auto"/>
              <w:right w:val="nil"/>
            </w:tcBorders>
            <w:shd w:val="clear" w:color="auto" w:fill="auto"/>
            <w:vAlign w:val="center"/>
          </w:tcPr>
          <w:p w14:paraId="72203EDC" w14:textId="77777777" w:rsidR="00ED673F" w:rsidRPr="00ED673F" w:rsidRDefault="00ED673F" w:rsidP="00ED673F">
            <w:pPr>
              <w:spacing w:before="40" w:after="40"/>
            </w:pPr>
            <w:r w:rsidRPr="00ED673F">
              <w:t xml:space="preserve">Council review borrowing as part of developing the Council Plan and Budget. The prudent use of borrowing is to be consistent with Council principles for the purposes of smoothing out major financial shocks, inter-generational significant capital projects and for growth related capital projects.  </w:t>
            </w:r>
          </w:p>
        </w:tc>
      </w:tr>
      <w:tr w:rsidR="00ED673F" w:rsidRPr="00ED673F" w14:paraId="6E2BC815" w14:textId="77777777" w:rsidTr="00461C0A">
        <w:trPr>
          <w:trHeight w:val="423"/>
        </w:trPr>
        <w:tc>
          <w:tcPr>
            <w:tcW w:w="2317" w:type="dxa"/>
            <w:tcBorders>
              <w:top w:val="single" w:sz="4" w:space="0" w:color="auto"/>
              <w:left w:val="nil"/>
              <w:bottom w:val="single" w:sz="4" w:space="0" w:color="auto"/>
              <w:right w:val="nil"/>
            </w:tcBorders>
            <w:shd w:val="clear" w:color="auto" w:fill="auto"/>
          </w:tcPr>
          <w:p w14:paraId="79497C55" w14:textId="77777777" w:rsidR="00ED673F" w:rsidRPr="00ED673F" w:rsidRDefault="00ED673F" w:rsidP="00ED673F">
            <w:pPr>
              <w:spacing w:before="40" w:after="40"/>
            </w:pPr>
            <w:r w:rsidRPr="00ED673F">
              <w:t>Reserves</w:t>
            </w:r>
          </w:p>
        </w:tc>
        <w:tc>
          <w:tcPr>
            <w:tcW w:w="7655" w:type="dxa"/>
            <w:tcBorders>
              <w:top w:val="single" w:sz="4" w:space="0" w:color="auto"/>
              <w:left w:val="nil"/>
              <w:bottom w:val="single" w:sz="4" w:space="0" w:color="auto"/>
              <w:right w:val="nil"/>
            </w:tcBorders>
            <w:shd w:val="clear" w:color="auto" w:fill="auto"/>
            <w:vAlign w:val="center"/>
          </w:tcPr>
          <w:p w14:paraId="1333B3BB" w14:textId="77777777" w:rsidR="00ED673F" w:rsidRPr="00ED673F" w:rsidRDefault="00ED673F" w:rsidP="00ED673F">
            <w:pPr>
              <w:spacing w:before="40" w:after="40"/>
            </w:pPr>
            <w:r w:rsidRPr="00ED673F">
              <w:t>The use of reserves remains consistent with past practice. This includes the following assumptions:</w:t>
            </w:r>
          </w:p>
          <w:p w14:paraId="4182C14F" w14:textId="77777777" w:rsidR="00ED673F" w:rsidRPr="00ED673F" w:rsidRDefault="00ED673F" w:rsidP="00912294">
            <w:pPr>
              <w:pStyle w:val="ListParagraph"/>
              <w:numPr>
                <w:ilvl w:val="0"/>
                <w:numId w:val="8"/>
              </w:numPr>
              <w:tabs>
                <w:tab w:val="clear" w:pos="-3060"/>
                <w:tab w:val="clear" w:pos="-2340"/>
                <w:tab w:val="clear" w:pos="6300"/>
              </w:tabs>
              <w:suppressAutoHyphens w:val="0"/>
              <w:spacing w:before="40" w:after="40"/>
              <w:ind w:left="317" w:hanging="241"/>
            </w:pPr>
            <w:r w:rsidRPr="00ED673F">
              <w:t>open space receipts and out-goings are equivalent (each year)</w:t>
            </w:r>
          </w:p>
          <w:p w14:paraId="503ECC44" w14:textId="77777777" w:rsidR="00ED673F" w:rsidRPr="00ED673F" w:rsidRDefault="00ED673F" w:rsidP="00912294">
            <w:pPr>
              <w:pStyle w:val="ListParagraph"/>
              <w:numPr>
                <w:ilvl w:val="0"/>
                <w:numId w:val="8"/>
              </w:numPr>
              <w:tabs>
                <w:tab w:val="clear" w:pos="-3060"/>
                <w:tab w:val="clear" w:pos="-2340"/>
                <w:tab w:val="clear" w:pos="6300"/>
              </w:tabs>
              <w:suppressAutoHyphens w:val="0"/>
              <w:spacing w:before="40" w:after="40"/>
              <w:ind w:left="317" w:hanging="241"/>
            </w:pPr>
            <w:r w:rsidRPr="00ED673F">
              <w:t>sustainable transport reserve receipts and out-goings are equivalent (each year)</w:t>
            </w:r>
          </w:p>
          <w:p w14:paraId="142F1B02" w14:textId="77777777" w:rsidR="00ED673F" w:rsidRPr="00ED673F" w:rsidRDefault="00ED673F" w:rsidP="00912294">
            <w:pPr>
              <w:pStyle w:val="ListParagraph"/>
              <w:numPr>
                <w:ilvl w:val="0"/>
                <w:numId w:val="8"/>
              </w:numPr>
              <w:tabs>
                <w:tab w:val="clear" w:pos="-3060"/>
                <w:tab w:val="clear" w:pos="-2340"/>
                <w:tab w:val="clear" w:pos="6300"/>
              </w:tabs>
              <w:suppressAutoHyphens w:val="0"/>
              <w:spacing w:before="40" w:after="40"/>
              <w:ind w:left="317" w:hanging="241"/>
            </w:pPr>
            <w:r w:rsidRPr="00ED673F">
              <w:t>proceeds from sale of non-strategic properties are quarantined in reserves for future strategic property acquisitions.</w:t>
            </w:r>
          </w:p>
        </w:tc>
      </w:tr>
    </w:tbl>
    <w:p w14:paraId="20A7BBDA" w14:textId="77777777" w:rsidR="00ED673F" w:rsidRPr="00ED673F" w:rsidRDefault="00ED673F" w:rsidP="00ED673F">
      <w:pPr>
        <w:jc w:val="both"/>
      </w:pPr>
    </w:p>
    <w:p w14:paraId="5DDE552A" w14:textId="77777777" w:rsidR="00ED673F" w:rsidRPr="00ED673F" w:rsidRDefault="00ED673F" w:rsidP="00ED673F">
      <w:pPr>
        <w:rPr>
          <w:color w:val="948A54"/>
        </w:rPr>
      </w:pPr>
      <w:r w:rsidRPr="00ED673F">
        <w:rPr>
          <w:b/>
          <w:color w:val="948A54"/>
        </w:rPr>
        <w:t>3.2 Financial Risks</w:t>
      </w:r>
    </w:p>
    <w:p w14:paraId="35760439" w14:textId="77777777" w:rsidR="00ED673F" w:rsidRPr="00ED673F" w:rsidRDefault="00ED673F" w:rsidP="00ED673F">
      <w:pPr>
        <w:jc w:val="both"/>
      </w:pPr>
      <w:r w:rsidRPr="00ED673F">
        <w:t>Council’s most significant financial risk is the impact of rates capping. The approach to managing this risk is outlined above. In addition to rates capping, a number of other financial risks exist, including:</w:t>
      </w:r>
    </w:p>
    <w:p w14:paraId="0B8CE1FE"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 xml:space="preserve">The Funding and Financing Strategy for FBURA has not yet released.  Due to this uncertainty, risk exists for a large funding gap due to the infrastructure desired comparing to funding available.   </w:t>
      </w:r>
    </w:p>
    <w:p w14:paraId="36C6743D"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 0.1% rate capping increase lower than the ESC recommended rate increase will result in a $121,000 revenue loss per annum.  If this occurs in the first year of the Outlook (2018/19), the follow-on revenue loss totalling $1.5 million over the life of the 10-year Outlook.</w:t>
      </w:r>
    </w:p>
    <w:p w14:paraId="76660D04"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More subdued property development which may result in the rates revenue base growing at a lower rate than the current 1.3% growth assumption, (every 0.1% reduction in growth equates to a $121,000 revenue loss)</w:t>
      </w:r>
    </w:p>
    <w:p w14:paraId="440E4FE2"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lastRenderedPageBreak/>
        <w:t>Lower than expected parking revenue, which forms the second largest revenue source for council, is historically volatile and is impacted by the macro-economic environment (a 1.0% reduction in revenue from parking fees and fines equates to a $340,000 revenue loss)</w:t>
      </w:r>
    </w:p>
    <w:p w14:paraId="741B6DA3"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 future unfunded defined benefits superannuation call occurring</w:t>
      </w:r>
    </w:p>
    <w:p w14:paraId="5B49EC91"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Future reductions in funding from other levels of Government or increases in cost shifting</w:t>
      </w:r>
    </w:p>
    <w:p w14:paraId="3E055550"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 major, unexpected, asset renewal issue.</w:t>
      </w:r>
    </w:p>
    <w:p w14:paraId="6DA6A158" w14:textId="77777777" w:rsidR="00ED673F" w:rsidRDefault="00ED673F" w:rsidP="00ED673F">
      <w:pPr>
        <w:jc w:val="both"/>
      </w:pPr>
    </w:p>
    <w:p w14:paraId="0AAEEE06" w14:textId="77777777" w:rsidR="00461C0A" w:rsidRPr="00ED673F" w:rsidRDefault="00461C0A" w:rsidP="00ED673F">
      <w:pPr>
        <w:jc w:val="both"/>
      </w:pPr>
    </w:p>
    <w:p w14:paraId="130EFB3C" w14:textId="13305912" w:rsidR="00ED673F" w:rsidRPr="00ED673F" w:rsidRDefault="00ED673F" w:rsidP="00ED673F">
      <w:pPr>
        <w:rPr>
          <w:b/>
          <w:color w:val="948A54"/>
        </w:rPr>
      </w:pPr>
      <w:r w:rsidRPr="00ED673F">
        <w:rPr>
          <w:b/>
          <w:color w:val="948A54"/>
        </w:rPr>
        <w:t>4. Planning for Growth</w:t>
      </w:r>
    </w:p>
    <w:p w14:paraId="40C8DDF3" w14:textId="77777777" w:rsidR="00ED673F" w:rsidRPr="00ED673F" w:rsidRDefault="00ED673F" w:rsidP="00ED673F">
      <w:pPr>
        <w:jc w:val="both"/>
      </w:pPr>
      <w:r w:rsidRPr="00ED673F">
        <w:t>The Council faces a period of significant growth in the municipality due to development in FBURA. Current planning projections provide for a possible population increase of 80,000 people by 2050, over 80% of the current population in the municipality.</w:t>
      </w:r>
    </w:p>
    <w:p w14:paraId="74F7931C" w14:textId="77777777" w:rsidR="00ED673F" w:rsidRPr="00ED673F" w:rsidRDefault="00ED673F" w:rsidP="00ED673F">
      <w:pPr>
        <w:jc w:val="both"/>
      </w:pPr>
      <w:r w:rsidRPr="00ED673F">
        <w:t xml:space="preserve">In November 2014, the State Government’s Metropolitan Planning Authority (MPA) prepared a Draft FBURA Developer Contributions Plan (DCP) which outlines approximately $376 million of local infrastructure and open space investment (in 2013 dollar terms). In addition to the revenue associated with the DCP Levy, the infrastructure investment will be funded through open space contributions and direct State and Local Government funding. </w:t>
      </w:r>
    </w:p>
    <w:p w14:paraId="58D37F39" w14:textId="77777777" w:rsidR="00ED673F" w:rsidRPr="00ED673F" w:rsidRDefault="00ED673F" w:rsidP="00ED673F">
      <w:pPr>
        <w:jc w:val="both"/>
      </w:pPr>
      <w:r w:rsidRPr="00ED673F">
        <w:t xml:space="preserve">The proposed development in the FBURA will create unprecedented financial challenges for Council as it copes with making significant investment ahead of future revenue streams. While work is underway to model the financial impact of FBURA on Council, uncertainty remains regarding the timing and extent of FBURA infrastructure funding that Council will provide. </w:t>
      </w:r>
    </w:p>
    <w:p w14:paraId="44C496D5" w14:textId="77777777" w:rsidR="00ED673F" w:rsidRPr="00ED673F" w:rsidRDefault="00ED673F" w:rsidP="00ED673F">
      <w:pPr>
        <w:jc w:val="both"/>
      </w:pPr>
      <w:r w:rsidRPr="00ED673F">
        <w:t xml:space="preserve">Recently, Council is working closely with State Government to deliver on a package of work in the Montague Precinct estimated at $49.1 million, where development is occurring first within FBURA. This Outlook includes financial outcomes from works agreed with State Government and known proposals only. </w:t>
      </w:r>
    </w:p>
    <w:p w14:paraId="44DB3D26" w14:textId="77777777" w:rsidR="00ED673F" w:rsidRPr="00ED673F" w:rsidRDefault="00ED673F" w:rsidP="00ED673F">
      <w:pPr>
        <w:jc w:val="both"/>
      </w:pPr>
      <w:r w:rsidRPr="00ED673F">
        <w:t>The agreed capital investment includes:</w:t>
      </w:r>
    </w:p>
    <w:p w14:paraId="29C5B77E"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Community facilities and netball courts in a joint development with a proposed primary school at Ferrars Street, South Melbourne expected completion in 2018.</w:t>
      </w:r>
    </w:p>
    <w:p w14:paraId="211D2AB3"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Strategic acquisition of an open space land on Buckhurst Street, South Melbourne adjacent to the Ferrars Street community centre.</w:t>
      </w:r>
    </w:p>
    <w:p w14:paraId="76FBEB44"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Streetscape works needed to make the proposed school safe and accessible</w:t>
      </w:r>
    </w:p>
    <w:p w14:paraId="397D9287"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Remediation and improvement works for the acquired land fit for open space use</w:t>
      </w:r>
    </w:p>
    <w:p w14:paraId="216B2494" w14:textId="77777777" w:rsidR="00ED673F" w:rsidRPr="00ED673F" w:rsidRDefault="00ED673F" w:rsidP="00ED673F">
      <w:pPr>
        <w:jc w:val="both"/>
      </w:pPr>
    </w:p>
    <w:p w14:paraId="26670BF2" w14:textId="77777777" w:rsidR="00ED673F" w:rsidRPr="00ED673F" w:rsidRDefault="00ED673F" w:rsidP="00ED673F">
      <w:r w:rsidRPr="00ED673F">
        <w:t>The State Government is currently in the process of preparing a Developer Contributions Plan for FBURA which will outline future investment needs and funding sources (beyond the investment outlined above). Due to the uncertainty associated with the future investment profile, no further investment has been incorporated in this Outlook, beyond the immediate proposal for the Montague Precinct outlined above. Council will continue to update its financial planning for FBURA as new information becomes available.</w:t>
      </w:r>
    </w:p>
    <w:p w14:paraId="5A421602" w14:textId="5F0640B5" w:rsidR="00461C0A" w:rsidRDefault="00461C0A">
      <w:pPr>
        <w:tabs>
          <w:tab w:val="clear" w:pos="-3060"/>
          <w:tab w:val="clear" w:pos="-2340"/>
          <w:tab w:val="clear" w:pos="6300"/>
        </w:tabs>
        <w:suppressAutoHyphens w:val="0"/>
        <w:spacing w:after="160" w:line="259" w:lineRule="auto"/>
      </w:pPr>
      <w:r>
        <w:br w:type="page"/>
      </w:r>
    </w:p>
    <w:p w14:paraId="3453356D" w14:textId="77777777" w:rsidR="00ED673F" w:rsidRPr="00ED673F" w:rsidRDefault="00ED673F" w:rsidP="00ED673F">
      <w:pPr>
        <w:rPr>
          <w:b/>
          <w:color w:val="948A54"/>
        </w:rPr>
      </w:pPr>
      <w:r w:rsidRPr="00ED673F">
        <w:rPr>
          <w:b/>
          <w:color w:val="948A54"/>
        </w:rPr>
        <w:lastRenderedPageBreak/>
        <w:t>5. Non-Financial Resources</w:t>
      </w:r>
    </w:p>
    <w:p w14:paraId="7735633F" w14:textId="2A9618B5" w:rsidR="00ED673F" w:rsidRPr="00ED673F" w:rsidRDefault="00ED673F" w:rsidP="00ED673F">
      <w:pPr>
        <w:jc w:val="both"/>
        <w:rPr>
          <w:b/>
          <w:color w:val="948A54"/>
        </w:rPr>
      </w:pPr>
      <w:r w:rsidRPr="00ED673F">
        <w:rPr>
          <w:b/>
          <w:color w:val="948A54"/>
        </w:rPr>
        <w:t xml:space="preserve">5.1 </w:t>
      </w:r>
      <w:r w:rsidR="0002705F">
        <w:rPr>
          <w:b/>
          <w:color w:val="948A54"/>
        </w:rPr>
        <w:t>Organistional Strategy</w:t>
      </w:r>
    </w:p>
    <w:p w14:paraId="562D611F" w14:textId="77777777" w:rsidR="00ED673F" w:rsidRPr="00ED673F" w:rsidRDefault="00ED673F" w:rsidP="00ED673F">
      <w:pPr>
        <w:jc w:val="both"/>
      </w:pPr>
      <w:r w:rsidRPr="00ED673F">
        <w:t>Council delivers a broad range of services. To strengthen the delivery of the Council Plan and Council’s key strategic priorities, Council has developed an organisational strategy called ‘Our Commitment to You’.</w:t>
      </w:r>
    </w:p>
    <w:p w14:paraId="25F3B835" w14:textId="77777777" w:rsidR="00ED673F" w:rsidRPr="00ED673F" w:rsidRDefault="00ED673F" w:rsidP="00ED673F">
      <w:pPr>
        <w:jc w:val="both"/>
      </w:pPr>
      <w:r w:rsidRPr="00ED673F">
        <w:t>Our Commitment to You is about delivering on a financially sustainable, high performing, well-governed organisation that puts the community first.</w:t>
      </w:r>
    </w:p>
    <w:p w14:paraId="11EE89D8" w14:textId="77777777" w:rsidR="00ED673F" w:rsidRPr="00ED673F" w:rsidRDefault="00ED673F" w:rsidP="00ED673F">
      <w:pPr>
        <w:jc w:val="both"/>
      </w:pPr>
      <w:r w:rsidRPr="00ED673F">
        <w:t>To build Council capability, the Our Commitment to You strategy has four key priority areas of enterprise-wide focus:</w:t>
      </w:r>
    </w:p>
    <w:p w14:paraId="072AECFA"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Improving customer experience and technology and being more innovative</w:t>
      </w:r>
    </w:p>
    <w:p w14:paraId="14D1ED91"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Improving community engagement, advocacy, transparency and governance</w:t>
      </w:r>
    </w:p>
    <w:p w14:paraId="549396BC"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Inspiring leadership, a capable workforce and culture and high performance and safety</w:t>
      </w:r>
    </w:p>
    <w:p w14:paraId="3D0A99F1"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Ensuring sustainable financial and asset management and effective project delivery.</w:t>
      </w:r>
    </w:p>
    <w:p w14:paraId="5AC07EC0" w14:textId="77777777" w:rsidR="00ED673F" w:rsidRPr="00ED673F" w:rsidRDefault="00ED673F" w:rsidP="00ED673F">
      <w:pPr>
        <w:pStyle w:val="ListParagraph"/>
      </w:pPr>
      <w:r w:rsidRPr="00ED673F">
        <w:t xml:space="preserve"> </w:t>
      </w:r>
    </w:p>
    <w:p w14:paraId="25CB818A" w14:textId="77777777" w:rsidR="00ED673F" w:rsidRPr="00ED673F" w:rsidRDefault="00ED673F" w:rsidP="00ED673F">
      <w:pPr>
        <w:jc w:val="both"/>
        <w:rPr>
          <w:color w:val="948A54"/>
        </w:rPr>
      </w:pPr>
      <w:r w:rsidRPr="00ED673F">
        <w:rPr>
          <w:b/>
          <w:color w:val="948A54"/>
        </w:rPr>
        <w:t>5.2 Council Staff</w:t>
      </w:r>
    </w:p>
    <w:p w14:paraId="0B35534B" w14:textId="06C1721D" w:rsidR="00ED673F" w:rsidRPr="00ED673F" w:rsidRDefault="00ED673F" w:rsidP="00ED673F">
      <w:pPr>
        <w:jc w:val="both"/>
      </w:pPr>
      <w:r w:rsidRPr="00ED673F">
        <w:t xml:space="preserve">The Council’s employees are </w:t>
      </w:r>
      <w:r w:rsidR="0002705F">
        <w:t xml:space="preserve">a key </w:t>
      </w:r>
      <w:r w:rsidRPr="00ED673F">
        <w:t>resource.  Council has a diverse workforce of committed individuals with an extensive range of skills and experience. Council aspires to be an employer of choice and to operate collectively as one organisation focused on the achievement of the Council Plan initiatives.  To enable this, Council is committed to professional development, mentoring, open communication and maintaining a safe and respectful working environment.</w:t>
      </w:r>
    </w:p>
    <w:p w14:paraId="17C914A7" w14:textId="77777777" w:rsidR="00ED673F" w:rsidRPr="00ED673F" w:rsidRDefault="00ED673F" w:rsidP="00ED673F">
      <w:pPr>
        <w:jc w:val="both"/>
      </w:pPr>
      <w:r w:rsidRPr="00ED673F">
        <w:t>In response the financial challenges that Council is facing, a significant investment has been made in building the capability of Council staff. This includes improving the ability of Council staff to:</w:t>
      </w:r>
    </w:p>
    <w:p w14:paraId="182A0B2F"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manage and prioritise projects with the support of new processes and systems.</w:t>
      </w:r>
    </w:p>
    <w:p w14:paraId="1FFBCC9D"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focus on identify and realise efficiency savings</w:t>
      </w:r>
    </w:p>
    <w:p w14:paraId="19E561E7"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achieve better service and financial outcomes through continuous process improvement initiatives</w:t>
      </w:r>
    </w:p>
    <w:p w14:paraId="0FE99D9B"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perform detailed service reviews with an objective of improving the overall value of Council’s services</w:t>
      </w:r>
    </w:p>
    <w:p w14:paraId="1050101D"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make more informed asset management decisions</w:t>
      </w:r>
    </w:p>
    <w:p w14:paraId="6A86E2FA"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leverage technology to improve customer service</w:t>
      </w:r>
    </w:p>
    <w:p w14:paraId="53BE84BC"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undertake long-term planning and performance measurement.</w:t>
      </w:r>
    </w:p>
    <w:p w14:paraId="4EF6FA0F" w14:textId="77777777" w:rsidR="00ED673F" w:rsidRPr="00ED673F" w:rsidRDefault="00ED673F" w:rsidP="00ED673F">
      <w:pPr>
        <w:rPr>
          <w:b/>
          <w:color w:val="948A54"/>
        </w:rPr>
      </w:pPr>
      <w:r w:rsidRPr="00ED673F">
        <w:br w:type="page"/>
      </w:r>
      <w:r w:rsidRPr="00ED673F">
        <w:rPr>
          <w:b/>
          <w:color w:val="948A54"/>
        </w:rPr>
        <w:lastRenderedPageBreak/>
        <w:t>6. Financial Statement</w:t>
      </w:r>
    </w:p>
    <w:p w14:paraId="73E40283" w14:textId="77777777" w:rsidR="00ED673F" w:rsidRPr="00ED673F" w:rsidRDefault="00ED673F" w:rsidP="00ED673F">
      <w:pPr>
        <w:jc w:val="both"/>
      </w:pPr>
      <w:r w:rsidRPr="00ED673F">
        <w:t>The Financial Statement includes a projection of Council revenue and expenditure, cash surplus/deficit and borrowings.</w:t>
      </w:r>
    </w:p>
    <w:p w14:paraId="0D415F78" w14:textId="5A3CC852" w:rsidR="00ED673F" w:rsidRPr="00ED673F" w:rsidRDefault="00EB4885" w:rsidP="00ED673F">
      <w:pPr>
        <w:jc w:val="both"/>
      </w:pPr>
      <w:r w:rsidRPr="00EB4885">
        <w:drawing>
          <wp:inline distT="0" distB="0" distL="0" distR="0" wp14:anchorId="36168E90" wp14:editId="1D13AF61">
            <wp:extent cx="6120130" cy="73216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7321673"/>
                    </a:xfrm>
                    <a:prstGeom prst="rect">
                      <a:avLst/>
                    </a:prstGeom>
                    <a:noFill/>
                    <a:ln>
                      <a:noFill/>
                    </a:ln>
                  </pic:spPr>
                </pic:pic>
              </a:graphicData>
            </a:graphic>
          </wp:inline>
        </w:drawing>
      </w:r>
    </w:p>
    <w:p w14:paraId="1FF82615" w14:textId="77777777" w:rsidR="00ED673F" w:rsidRPr="00ED673F" w:rsidRDefault="00ED673F" w:rsidP="00ED673F">
      <w:pPr>
        <w:rPr>
          <w:b/>
          <w:color w:val="948A54"/>
        </w:rPr>
      </w:pPr>
      <w:r w:rsidRPr="00ED673F">
        <w:br w:type="page"/>
      </w:r>
      <w:r w:rsidRPr="00ED673F">
        <w:rPr>
          <w:b/>
          <w:color w:val="948A54"/>
        </w:rPr>
        <w:lastRenderedPageBreak/>
        <w:t>7. Key Financial Indicators</w:t>
      </w:r>
    </w:p>
    <w:p w14:paraId="0DD9C2E8" w14:textId="77777777" w:rsidR="00ED673F" w:rsidRPr="00ED673F" w:rsidRDefault="00ED673F" w:rsidP="00ED673F">
      <w:pPr>
        <w:jc w:val="both"/>
        <w:rPr>
          <w:b/>
          <w:color w:val="948A54"/>
        </w:rPr>
      </w:pPr>
      <w:r w:rsidRPr="00ED673F">
        <w:rPr>
          <w:b/>
          <w:color w:val="948A54"/>
        </w:rPr>
        <w:t>7.1 VAGO Financial Sustainability Risk Indicators</w:t>
      </w:r>
    </w:p>
    <w:p w14:paraId="7616F87F" w14:textId="77777777" w:rsidR="00ED673F" w:rsidRPr="00ED673F" w:rsidRDefault="00ED673F" w:rsidP="00ED673F">
      <w:r w:rsidRPr="00ED673F">
        <w:t>The Victorian Audit General Office (VAGO) audits Council’s finances and assesses against a number of financial indicators to arrive at an overall assessment of financial sustainability. CoPP is to achieve a low risk overall assessment score from VAGO.</w:t>
      </w:r>
    </w:p>
    <w:p w14:paraId="6A482582" w14:textId="71DAC35A" w:rsidR="00ED673F" w:rsidRPr="00ED673F" w:rsidRDefault="00D12C9A" w:rsidP="00ED673F">
      <w:r w:rsidRPr="00D12C9A">
        <w:drawing>
          <wp:inline distT="0" distB="0" distL="0" distR="0" wp14:anchorId="7BF483F3" wp14:editId="1633B570">
            <wp:extent cx="6289481" cy="24627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4257" cy="2464629"/>
                    </a:xfrm>
                    <a:prstGeom prst="rect">
                      <a:avLst/>
                    </a:prstGeom>
                    <a:noFill/>
                    <a:ln>
                      <a:noFill/>
                    </a:ln>
                  </pic:spPr>
                </pic:pic>
              </a:graphicData>
            </a:graphic>
          </wp:inline>
        </w:drawing>
      </w:r>
    </w:p>
    <w:p w14:paraId="6CD3D25A" w14:textId="77777777" w:rsidR="00ED673F" w:rsidRPr="00ED673F" w:rsidRDefault="00ED673F" w:rsidP="00ED673F">
      <w:pPr>
        <w:jc w:val="both"/>
        <w:rPr>
          <w:b/>
          <w:color w:val="948A54"/>
        </w:rPr>
      </w:pPr>
      <w:r w:rsidRPr="00ED673F">
        <w:rPr>
          <w:b/>
          <w:color w:val="948A54"/>
        </w:rPr>
        <w:t>7.2 Local Government Performance Reporting Framework Indicators</w:t>
      </w:r>
    </w:p>
    <w:p w14:paraId="1539B6A4" w14:textId="77777777" w:rsidR="00ED673F" w:rsidRPr="00ED673F" w:rsidRDefault="00ED673F" w:rsidP="00ED673F">
      <w:r w:rsidRPr="00ED673F">
        <w:t xml:space="preserve">The Local Government Performance Reporting Framework requires Council to report our performance in the knowyourcouncil website accessible to the community using a set of indicators. </w:t>
      </w:r>
    </w:p>
    <w:p w14:paraId="62207370" w14:textId="45D36460" w:rsidR="00ED673F" w:rsidRPr="00ED673F" w:rsidRDefault="00D12C9A" w:rsidP="00ED673F">
      <w:r w:rsidRPr="00D12C9A">
        <w:drawing>
          <wp:inline distT="0" distB="0" distL="0" distR="0" wp14:anchorId="41187200" wp14:editId="32A70167">
            <wp:extent cx="6324839" cy="41028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1981" cy="4107506"/>
                    </a:xfrm>
                    <a:prstGeom prst="rect">
                      <a:avLst/>
                    </a:prstGeom>
                    <a:noFill/>
                    <a:ln>
                      <a:noFill/>
                    </a:ln>
                  </pic:spPr>
                </pic:pic>
              </a:graphicData>
            </a:graphic>
          </wp:inline>
        </w:drawing>
      </w:r>
    </w:p>
    <w:p w14:paraId="11F982EE" w14:textId="77777777" w:rsidR="00ED673F" w:rsidRPr="00ED673F" w:rsidRDefault="00ED673F" w:rsidP="00ED673F"/>
    <w:p w14:paraId="2C20A5E0" w14:textId="77777777" w:rsidR="00ED673F" w:rsidRPr="00ED673F" w:rsidRDefault="00ED673F" w:rsidP="00ED673F">
      <w:pPr>
        <w:rPr>
          <w:b/>
          <w:color w:val="948A54"/>
        </w:rPr>
      </w:pPr>
      <w:r w:rsidRPr="00ED673F">
        <w:rPr>
          <w:b/>
          <w:color w:val="948A54"/>
        </w:rPr>
        <w:br w:type="page"/>
      </w:r>
      <w:r w:rsidRPr="00ED673F">
        <w:rPr>
          <w:b/>
          <w:color w:val="948A54"/>
        </w:rPr>
        <w:lastRenderedPageBreak/>
        <w:t>8. Glossary</w:t>
      </w:r>
    </w:p>
    <w:p w14:paraId="7B884BCD" w14:textId="77777777" w:rsidR="00ED673F" w:rsidRPr="00ED673F" w:rsidRDefault="00ED673F" w:rsidP="00ED673F">
      <w:pPr>
        <w:spacing w:after="0"/>
        <w:jc w:val="both"/>
        <w:rPr>
          <w:b/>
          <w:color w:val="4F81BD"/>
        </w:rPr>
      </w:pPr>
      <w:r w:rsidRPr="00ED673F">
        <w:rPr>
          <w:b/>
          <w:color w:val="4F81BD"/>
        </w:rPr>
        <w:t>Adjusted Underlying Surplus</w:t>
      </w:r>
    </w:p>
    <w:p w14:paraId="36D0F7FA" w14:textId="77777777" w:rsidR="00ED673F" w:rsidRPr="00ED673F" w:rsidRDefault="00ED673F" w:rsidP="00ED673F">
      <w:pPr>
        <w:spacing w:after="0"/>
      </w:pPr>
      <w:r w:rsidRPr="00ED673F">
        <w:t>Adjusted Underlying Surplus is the surplus result after adjusted underlying revenue less total expenditure.</w:t>
      </w:r>
    </w:p>
    <w:p w14:paraId="09C5F915" w14:textId="77777777" w:rsidR="00ED673F" w:rsidRPr="00ED673F" w:rsidRDefault="00ED673F" w:rsidP="00ED673F">
      <w:pPr>
        <w:spacing w:after="0"/>
        <w:jc w:val="both"/>
        <w:rPr>
          <w:b/>
          <w:color w:val="4F81BD"/>
        </w:rPr>
      </w:pPr>
    </w:p>
    <w:p w14:paraId="0AF14425" w14:textId="02AB6DBB" w:rsidR="00ED673F" w:rsidRPr="00ED673F" w:rsidRDefault="00ED673F" w:rsidP="00ED673F">
      <w:pPr>
        <w:spacing w:after="0"/>
        <w:jc w:val="both"/>
        <w:rPr>
          <w:b/>
          <w:color w:val="4F81BD"/>
        </w:rPr>
      </w:pPr>
      <w:r w:rsidRPr="00ED673F">
        <w:rPr>
          <w:b/>
          <w:color w:val="4F81BD"/>
        </w:rPr>
        <w:t>Average Rate</w:t>
      </w:r>
    </w:p>
    <w:p w14:paraId="64CFE4AE" w14:textId="613E6DEB" w:rsidR="00ED673F" w:rsidRPr="00ED673F" w:rsidRDefault="00ED673F" w:rsidP="00ED673F">
      <w:pPr>
        <w:spacing w:after="0"/>
      </w:pPr>
      <w:r w:rsidRPr="00ED673F">
        <w:t>Is the nominal rate</w:t>
      </w:r>
      <w:r w:rsidR="004C37A4">
        <w:t>payer</w:t>
      </w:r>
      <w:r w:rsidRPr="00ED673F">
        <w:t xml:space="preserve"> as a result of total rate revenue over total number of assessable properties.</w:t>
      </w:r>
    </w:p>
    <w:p w14:paraId="1684CB9E" w14:textId="77777777" w:rsidR="00ED673F" w:rsidRPr="00ED673F" w:rsidRDefault="00ED673F" w:rsidP="00ED673F">
      <w:pPr>
        <w:spacing w:after="0"/>
      </w:pPr>
    </w:p>
    <w:p w14:paraId="7F842F28" w14:textId="77777777" w:rsidR="00ED673F" w:rsidRPr="00ED673F" w:rsidRDefault="00ED673F" w:rsidP="00ED673F">
      <w:pPr>
        <w:spacing w:after="0"/>
        <w:jc w:val="both"/>
        <w:rPr>
          <w:b/>
          <w:color w:val="4F81BD"/>
        </w:rPr>
      </w:pPr>
      <w:r w:rsidRPr="00ED673F">
        <w:rPr>
          <w:b/>
          <w:color w:val="4F81BD"/>
        </w:rPr>
        <w:t>Balanced Budget</w:t>
      </w:r>
    </w:p>
    <w:p w14:paraId="0D120BAB" w14:textId="0143EE3D" w:rsidR="00ED673F" w:rsidRPr="00ED673F" w:rsidRDefault="0002705F" w:rsidP="00ED673F">
      <w:pPr>
        <w:spacing w:after="0"/>
      </w:pPr>
      <w:r>
        <w:t>Cash inflow at the minimum equals cash outflow (including capital expenditure)</w:t>
      </w:r>
      <w:r w:rsidR="00ED673F" w:rsidRPr="00ED673F">
        <w:t>.</w:t>
      </w:r>
    </w:p>
    <w:p w14:paraId="08565599" w14:textId="77777777" w:rsidR="00ED673F" w:rsidRPr="00ED673F" w:rsidRDefault="00ED673F" w:rsidP="00ED673F">
      <w:pPr>
        <w:spacing w:after="0"/>
        <w:rPr>
          <w:b/>
          <w:color w:val="4F81BD"/>
        </w:rPr>
      </w:pPr>
    </w:p>
    <w:p w14:paraId="731E8414" w14:textId="77777777" w:rsidR="00ED673F" w:rsidRPr="00ED673F" w:rsidRDefault="00ED673F" w:rsidP="00ED673F">
      <w:pPr>
        <w:spacing w:after="0"/>
      </w:pPr>
      <w:r w:rsidRPr="00ED673F">
        <w:rPr>
          <w:b/>
          <w:color w:val="4F81BD"/>
        </w:rPr>
        <w:t>Cash Surplus</w:t>
      </w:r>
    </w:p>
    <w:p w14:paraId="74BDE7A0" w14:textId="77777777" w:rsidR="00ED673F" w:rsidRPr="00ED673F" w:rsidRDefault="00ED673F" w:rsidP="00ED673F">
      <w:pPr>
        <w:spacing w:after="0"/>
      </w:pPr>
      <w:r w:rsidRPr="00ED673F">
        <w:t>Is the net cash flow of the organisation for the financial year after accounting for net operational cash flows, net cash flows from investing activities, net cash flows from financing activities and net cash flows from reserves.</w:t>
      </w:r>
    </w:p>
    <w:p w14:paraId="346BE8C6" w14:textId="77777777" w:rsidR="00ED673F" w:rsidRPr="00ED673F" w:rsidRDefault="00ED673F" w:rsidP="00ED673F">
      <w:pPr>
        <w:spacing w:after="0"/>
        <w:jc w:val="both"/>
        <w:rPr>
          <w:b/>
          <w:color w:val="4F81BD"/>
        </w:rPr>
      </w:pPr>
    </w:p>
    <w:p w14:paraId="2ACDD351" w14:textId="77777777" w:rsidR="00ED673F" w:rsidRPr="00ED673F" w:rsidRDefault="00ED673F" w:rsidP="00ED673F">
      <w:pPr>
        <w:spacing w:after="0"/>
        <w:jc w:val="both"/>
        <w:rPr>
          <w:b/>
          <w:color w:val="4F81BD"/>
        </w:rPr>
      </w:pPr>
      <w:r w:rsidRPr="00ED673F">
        <w:rPr>
          <w:b/>
          <w:color w:val="4F81BD"/>
        </w:rPr>
        <w:t>Cash Surplus Balance</w:t>
      </w:r>
    </w:p>
    <w:p w14:paraId="353086AB" w14:textId="77777777" w:rsidR="00ED673F" w:rsidRPr="00ED673F" w:rsidRDefault="00ED673F" w:rsidP="00ED673F">
      <w:pPr>
        <w:spacing w:after="0"/>
      </w:pPr>
      <w:r w:rsidRPr="00ED673F">
        <w:t>The carried forward balance of cash surplus Council holds.</w:t>
      </w:r>
    </w:p>
    <w:p w14:paraId="21AB2976" w14:textId="77777777" w:rsidR="00ED673F" w:rsidRPr="00ED673F" w:rsidRDefault="00ED673F" w:rsidP="00ED673F">
      <w:pPr>
        <w:spacing w:after="0"/>
        <w:jc w:val="both"/>
        <w:rPr>
          <w:b/>
          <w:color w:val="4F81BD"/>
        </w:rPr>
      </w:pPr>
    </w:p>
    <w:p w14:paraId="3E625774" w14:textId="77777777" w:rsidR="00ED673F" w:rsidRPr="00ED673F" w:rsidRDefault="00ED673F" w:rsidP="00ED673F">
      <w:pPr>
        <w:spacing w:after="0"/>
        <w:jc w:val="both"/>
        <w:rPr>
          <w:b/>
          <w:color w:val="4F81BD"/>
        </w:rPr>
      </w:pPr>
      <w:r w:rsidRPr="00ED673F">
        <w:rPr>
          <w:b/>
          <w:color w:val="4F81BD"/>
        </w:rPr>
        <w:t>Depreciation</w:t>
      </w:r>
    </w:p>
    <w:p w14:paraId="5DC1D0D6" w14:textId="77777777" w:rsidR="00ED673F" w:rsidRPr="00ED673F" w:rsidRDefault="00ED673F" w:rsidP="00ED673F">
      <w:pPr>
        <w:spacing w:after="0"/>
      </w:pPr>
      <w:r w:rsidRPr="00ED673F">
        <w:t>The systematic allocation of the value of an asset over its expected useful life. CoPP uses the straight-line depreciation method.</w:t>
      </w:r>
    </w:p>
    <w:p w14:paraId="6F757775" w14:textId="77777777" w:rsidR="00ED673F" w:rsidRPr="00ED673F" w:rsidRDefault="00ED673F" w:rsidP="00ED673F">
      <w:pPr>
        <w:spacing w:after="0"/>
      </w:pPr>
    </w:p>
    <w:p w14:paraId="0874BBEB" w14:textId="77777777" w:rsidR="00ED673F" w:rsidRPr="00ED673F" w:rsidRDefault="00ED673F" w:rsidP="00ED673F">
      <w:pPr>
        <w:spacing w:after="0"/>
        <w:jc w:val="both"/>
        <w:rPr>
          <w:b/>
          <w:color w:val="4F81BD"/>
        </w:rPr>
      </w:pPr>
      <w:r w:rsidRPr="00ED673F">
        <w:rPr>
          <w:b/>
          <w:color w:val="4F81BD"/>
        </w:rPr>
        <w:t>Developer Contribution</w:t>
      </w:r>
    </w:p>
    <w:p w14:paraId="0159D5F4" w14:textId="77777777" w:rsidR="00ED673F" w:rsidRPr="00ED673F" w:rsidRDefault="00ED673F" w:rsidP="00ED673F">
      <w:pPr>
        <w:spacing w:after="0"/>
        <w:jc w:val="both"/>
      </w:pPr>
      <w:r w:rsidRPr="00ED673F">
        <w:t>Cash payments or assets made by developers towards the supply of infrastructure to support land developments in accordance with the requirements of the Development Contribution Plan.</w:t>
      </w:r>
    </w:p>
    <w:p w14:paraId="6E71B23A" w14:textId="77777777" w:rsidR="00ED673F" w:rsidRPr="00ED673F" w:rsidRDefault="00ED673F" w:rsidP="00ED673F">
      <w:pPr>
        <w:spacing w:after="0"/>
        <w:jc w:val="both"/>
        <w:rPr>
          <w:b/>
          <w:color w:val="4F81BD"/>
        </w:rPr>
      </w:pPr>
    </w:p>
    <w:p w14:paraId="1ACF4AF1" w14:textId="77777777" w:rsidR="00ED673F" w:rsidRPr="00ED673F" w:rsidRDefault="00ED673F" w:rsidP="00ED673F">
      <w:pPr>
        <w:spacing w:after="0"/>
        <w:jc w:val="both"/>
        <w:rPr>
          <w:b/>
          <w:color w:val="4F81BD"/>
        </w:rPr>
      </w:pPr>
      <w:r w:rsidRPr="00ED673F">
        <w:rPr>
          <w:b/>
          <w:color w:val="4F81BD"/>
        </w:rPr>
        <w:t>Development Contribution Plan</w:t>
      </w:r>
    </w:p>
    <w:p w14:paraId="1D7AC5E9" w14:textId="77777777" w:rsidR="00ED673F" w:rsidRPr="00ED673F" w:rsidRDefault="00ED673F" w:rsidP="00ED673F">
      <w:pPr>
        <w:spacing w:after="0"/>
      </w:pPr>
      <w:r w:rsidRPr="00ED673F">
        <w:t>A mechanism used to levy new developments for contributions to planned infrastructure needed by the future community.</w:t>
      </w:r>
    </w:p>
    <w:p w14:paraId="0A0744A1" w14:textId="77777777" w:rsidR="00ED673F" w:rsidRPr="00ED673F" w:rsidRDefault="00ED673F" w:rsidP="00ED673F">
      <w:pPr>
        <w:spacing w:after="0"/>
      </w:pPr>
    </w:p>
    <w:p w14:paraId="53E084D1" w14:textId="77777777" w:rsidR="00ED673F" w:rsidRPr="00ED673F" w:rsidRDefault="00ED673F" w:rsidP="00ED673F">
      <w:pPr>
        <w:spacing w:after="0"/>
        <w:jc w:val="both"/>
        <w:rPr>
          <w:b/>
          <w:color w:val="4F81BD"/>
        </w:rPr>
      </w:pPr>
      <w:r w:rsidRPr="00ED673F">
        <w:rPr>
          <w:b/>
          <w:color w:val="4F81BD"/>
        </w:rPr>
        <w:t>Indebtedness ratio</w:t>
      </w:r>
    </w:p>
    <w:p w14:paraId="675425D5" w14:textId="77777777" w:rsidR="00ED673F" w:rsidRPr="00ED673F" w:rsidRDefault="00ED673F" w:rsidP="00ED673F">
      <w:pPr>
        <w:spacing w:after="0"/>
      </w:pPr>
      <w:r w:rsidRPr="00ED673F">
        <w:t>Is the ratio comparison of non-current liabilities to own-sourced revenue.  The higher the percentage, the less able to cover non-liabilities from the revenues the entity generates itself.</w:t>
      </w:r>
    </w:p>
    <w:p w14:paraId="223C4967" w14:textId="77777777" w:rsidR="00ED673F" w:rsidRPr="00ED673F" w:rsidRDefault="00ED673F" w:rsidP="00ED673F">
      <w:pPr>
        <w:spacing w:after="0"/>
        <w:jc w:val="both"/>
        <w:rPr>
          <w:b/>
          <w:color w:val="4F81BD"/>
        </w:rPr>
      </w:pPr>
    </w:p>
    <w:p w14:paraId="7DD8B2E8" w14:textId="77777777" w:rsidR="00ED673F" w:rsidRPr="00ED673F" w:rsidRDefault="00ED673F" w:rsidP="00ED673F">
      <w:pPr>
        <w:spacing w:after="0"/>
        <w:jc w:val="both"/>
        <w:rPr>
          <w:b/>
          <w:color w:val="4F81BD"/>
        </w:rPr>
      </w:pPr>
      <w:r w:rsidRPr="00ED673F">
        <w:rPr>
          <w:b/>
          <w:color w:val="4F81BD"/>
        </w:rPr>
        <w:t>Infrastructure Renewal Gap Ratio</w:t>
      </w:r>
    </w:p>
    <w:p w14:paraId="7D545AD9" w14:textId="77777777" w:rsidR="00ED673F" w:rsidRPr="00ED673F" w:rsidRDefault="00ED673F" w:rsidP="00ED673F">
      <w:pPr>
        <w:spacing w:after="0"/>
      </w:pPr>
      <w:r w:rsidRPr="00ED673F">
        <w:t>Comparison of spending on existing assets through renewal and upgrade with depreciation.  A ratio100% or higher indicates spending on existing assets is faster than the rate of asset deterioration.</w:t>
      </w:r>
    </w:p>
    <w:p w14:paraId="282E3EAE" w14:textId="77777777" w:rsidR="00ED673F" w:rsidRPr="00ED673F" w:rsidRDefault="00ED673F" w:rsidP="00ED673F">
      <w:pPr>
        <w:spacing w:after="0"/>
      </w:pPr>
    </w:p>
    <w:p w14:paraId="112758D4" w14:textId="77777777" w:rsidR="00ED673F" w:rsidRPr="00ED673F" w:rsidRDefault="00ED673F" w:rsidP="00ED673F">
      <w:pPr>
        <w:spacing w:after="0"/>
        <w:jc w:val="both"/>
        <w:rPr>
          <w:b/>
          <w:color w:val="4F81BD"/>
        </w:rPr>
      </w:pPr>
      <w:r w:rsidRPr="00ED673F">
        <w:rPr>
          <w:b/>
          <w:color w:val="4F81BD"/>
        </w:rPr>
        <w:t>Internal financing ratio</w:t>
      </w:r>
    </w:p>
    <w:p w14:paraId="2D8778A9" w14:textId="77777777" w:rsidR="00ED673F" w:rsidRPr="00ED673F" w:rsidRDefault="00ED673F" w:rsidP="00ED673F">
      <w:pPr>
        <w:spacing w:after="0"/>
      </w:pPr>
      <w:r w:rsidRPr="00ED673F">
        <w:t>Is Council’s ability to generate cash from operations to finance capital expenditure.  The higher the percentage, the greater the ability for Council to finance capital works from own funds.</w:t>
      </w:r>
    </w:p>
    <w:p w14:paraId="412CB559" w14:textId="77777777" w:rsidR="00ED673F" w:rsidRPr="00ED673F" w:rsidRDefault="00ED673F" w:rsidP="00ED673F">
      <w:pPr>
        <w:spacing w:after="0"/>
      </w:pPr>
    </w:p>
    <w:p w14:paraId="6B35FBE2" w14:textId="77777777" w:rsidR="00ED673F" w:rsidRPr="00ED673F" w:rsidRDefault="00ED673F" w:rsidP="00ED673F">
      <w:pPr>
        <w:spacing w:after="0"/>
      </w:pPr>
    </w:p>
    <w:p w14:paraId="110D042A" w14:textId="77777777" w:rsidR="00ED673F" w:rsidRPr="00ED673F" w:rsidRDefault="00ED673F" w:rsidP="00ED673F">
      <w:pPr>
        <w:spacing w:after="0"/>
      </w:pPr>
    </w:p>
    <w:p w14:paraId="3B658ADC" w14:textId="77777777" w:rsidR="00ED673F" w:rsidRPr="00ED673F" w:rsidRDefault="00ED673F" w:rsidP="00ED673F">
      <w:pPr>
        <w:spacing w:after="0"/>
        <w:jc w:val="both"/>
        <w:rPr>
          <w:b/>
          <w:color w:val="4F81BD"/>
        </w:rPr>
      </w:pPr>
      <w:r w:rsidRPr="00ED673F">
        <w:rPr>
          <w:b/>
          <w:color w:val="4F81BD"/>
        </w:rPr>
        <w:t>Net Annual Value</w:t>
      </w:r>
    </w:p>
    <w:p w14:paraId="418CFE53" w14:textId="77777777" w:rsidR="00ED673F" w:rsidRPr="00ED673F" w:rsidRDefault="00ED673F" w:rsidP="00ED673F">
      <w:pPr>
        <w:spacing w:after="0"/>
      </w:pPr>
      <w:r w:rsidRPr="00ED673F">
        <w:t>Net Annual Value is the valuation methodology for Council’s rating purposes.  The NAV treats commercial and industrial properties differently to residential.</w:t>
      </w:r>
    </w:p>
    <w:p w14:paraId="59059F47" w14:textId="77777777" w:rsidR="00ED673F" w:rsidRPr="00ED673F" w:rsidRDefault="00ED673F" w:rsidP="00912294">
      <w:pPr>
        <w:pStyle w:val="ListParagraph"/>
        <w:numPr>
          <w:ilvl w:val="0"/>
          <w:numId w:val="9"/>
        </w:numPr>
        <w:tabs>
          <w:tab w:val="clear" w:pos="-3060"/>
          <w:tab w:val="clear" w:pos="-2340"/>
          <w:tab w:val="clear" w:pos="6300"/>
        </w:tabs>
        <w:suppressAutoHyphens w:val="0"/>
        <w:spacing w:after="0"/>
      </w:pPr>
      <w:r w:rsidRPr="00ED673F">
        <w:t xml:space="preserve">Commercial or industrial properties: it is the current value of a property’s net annual rent (gross annual rental less all outgoings including land tax, building insurance and maintenance costs, except Council rates). </w:t>
      </w:r>
    </w:p>
    <w:p w14:paraId="47BC3A90" w14:textId="77777777" w:rsidR="00ED673F" w:rsidRPr="00ED673F" w:rsidRDefault="00ED673F" w:rsidP="00912294">
      <w:pPr>
        <w:pStyle w:val="ListParagraph"/>
        <w:numPr>
          <w:ilvl w:val="0"/>
          <w:numId w:val="9"/>
        </w:numPr>
        <w:tabs>
          <w:tab w:val="clear" w:pos="-3060"/>
          <w:tab w:val="clear" w:pos="-2340"/>
          <w:tab w:val="clear" w:pos="6300"/>
        </w:tabs>
        <w:suppressAutoHyphens w:val="0"/>
        <w:spacing w:after="0"/>
      </w:pPr>
      <w:r w:rsidRPr="00ED673F">
        <w:t>Residential Dwellings: 5 per cent of the Capital Improved Value (land, building and other improvements) and is not a reflection of rental achievable for the property.</w:t>
      </w:r>
    </w:p>
    <w:p w14:paraId="1B1F8300" w14:textId="77777777" w:rsidR="00ED673F" w:rsidRDefault="00ED673F" w:rsidP="00ED673F">
      <w:pPr>
        <w:spacing w:after="0"/>
      </w:pPr>
    </w:p>
    <w:p w14:paraId="261757A6" w14:textId="77777777" w:rsidR="0002705F" w:rsidRPr="00ED673F" w:rsidRDefault="0002705F" w:rsidP="00ED673F">
      <w:pPr>
        <w:spacing w:after="0"/>
      </w:pPr>
    </w:p>
    <w:p w14:paraId="22F164ED" w14:textId="77777777" w:rsidR="00ED673F" w:rsidRPr="00ED673F" w:rsidRDefault="00ED673F" w:rsidP="00ED673F">
      <w:pPr>
        <w:spacing w:after="0"/>
        <w:jc w:val="both"/>
        <w:rPr>
          <w:b/>
          <w:color w:val="4F81BD"/>
        </w:rPr>
      </w:pPr>
      <w:r w:rsidRPr="00ED673F">
        <w:rPr>
          <w:b/>
          <w:color w:val="4F81BD"/>
        </w:rPr>
        <w:lastRenderedPageBreak/>
        <w:t>Own-Sourced Revenue</w:t>
      </w:r>
    </w:p>
    <w:p w14:paraId="21B9AE58" w14:textId="77777777" w:rsidR="00ED673F" w:rsidRPr="00ED673F" w:rsidRDefault="00ED673F" w:rsidP="00ED673F">
      <w:pPr>
        <w:spacing w:after="0"/>
      </w:pPr>
      <w:r w:rsidRPr="00ED673F">
        <w:t>Is total income/revenue excluding all grants and contributions.</w:t>
      </w:r>
    </w:p>
    <w:p w14:paraId="6B621C11" w14:textId="77777777" w:rsidR="00ED673F" w:rsidRPr="00ED673F" w:rsidRDefault="00ED673F" w:rsidP="00ED673F">
      <w:pPr>
        <w:spacing w:after="0"/>
      </w:pPr>
    </w:p>
    <w:p w14:paraId="2DDB9790" w14:textId="77777777" w:rsidR="00ED673F" w:rsidRPr="00ED673F" w:rsidRDefault="00ED673F" w:rsidP="00ED673F">
      <w:pPr>
        <w:spacing w:after="0"/>
        <w:jc w:val="both"/>
        <w:rPr>
          <w:b/>
          <w:color w:val="4F81BD"/>
        </w:rPr>
      </w:pPr>
      <w:r w:rsidRPr="00ED673F">
        <w:rPr>
          <w:b/>
          <w:color w:val="4F81BD"/>
        </w:rPr>
        <w:t>Rates Income/ Revenue</w:t>
      </w:r>
    </w:p>
    <w:p w14:paraId="5C522BA1" w14:textId="77777777" w:rsidR="00ED673F" w:rsidRPr="00ED673F" w:rsidRDefault="00ED673F" w:rsidP="00ED673F">
      <w:pPr>
        <w:spacing w:after="0"/>
      </w:pPr>
      <w:r w:rsidRPr="00ED673F">
        <w:t>Is revenue from general rates, municipal charges service rates and services charges.</w:t>
      </w:r>
    </w:p>
    <w:p w14:paraId="5760A1CB" w14:textId="77777777" w:rsidR="00ED673F" w:rsidRPr="00ED673F" w:rsidRDefault="00ED673F" w:rsidP="00ED673F">
      <w:pPr>
        <w:spacing w:after="0"/>
        <w:jc w:val="both"/>
        <w:rPr>
          <w:b/>
          <w:color w:val="4F81BD"/>
        </w:rPr>
      </w:pPr>
    </w:p>
    <w:p w14:paraId="312BCE93" w14:textId="77777777" w:rsidR="00ED673F" w:rsidRPr="00ED673F" w:rsidRDefault="00ED673F" w:rsidP="00ED673F">
      <w:pPr>
        <w:spacing w:after="0"/>
        <w:jc w:val="both"/>
        <w:rPr>
          <w:b/>
          <w:color w:val="4F81BD"/>
        </w:rPr>
      </w:pPr>
      <w:r w:rsidRPr="00ED673F">
        <w:rPr>
          <w:b/>
          <w:color w:val="4F81BD"/>
        </w:rPr>
        <w:t>Rate Cap</w:t>
      </w:r>
    </w:p>
    <w:p w14:paraId="78A0B178" w14:textId="77777777" w:rsidR="00ED673F" w:rsidRPr="00ED673F" w:rsidRDefault="00ED673F" w:rsidP="00ED673F">
      <w:pPr>
        <w:spacing w:after="0"/>
      </w:pPr>
      <w:r w:rsidRPr="00ED673F">
        <w:t>The maximum annual rate of increase that councils can apply to their rate revenue as gazetted by the Minister of Local Government.</w:t>
      </w:r>
    </w:p>
    <w:p w14:paraId="47C54127" w14:textId="77777777" w:rsidR="00ED673F" w:rsidRPr="00ED673F" w:rsidRDefault="00ED673F" w:rsidP="00ED673F">
      <w:pPr>
        <w:spacing w:after="0"/>
      </w:pPr>
    </w:p>
    <w:p w14:paraId="7561590B" w14:textId="77777777" w:rsidR="00ED673F" w:rsidRPr="00ED673F" w:rsidRDefault="00ED673F" w:rsidP="00ED673F">
      <w:pPr>
        <w:spacing w:after="0"/>
        <w:jc w:val="both"/>
        <w:rPr>
          <w:b/>
          <w:color w:val="4F81BD"/>
        </w:rPr>
      </w:pPr>
      <w:r w:rsidRPr="00ED673F">
        <w:rPr>
          <w:b/>
          <w:color w:val="4F81BD"/>
        </w:rPr>
        <w:t>Renewal expenditure</w:t>
      </w:r>
    </w:p>
    <w:p w14:paraId="32A20012" w14:textId="77777777" w:rsidR="00ED673F" w:rsidRPr="00ED673F" w:rsidRDefault="00ED673F" w:rsidP="00ED673F">
      <w:pPr>
        <w:spacing w:after="0"/>
      </w:pPr>
      <w:r w:rsidRPr="00ED673F">
        <w:t>Capital expenditure on an existing asset or on replacing an existing asset that returns the service capability of the asset to its original capability.</w:t>
      </w:r>
    </w:p>
    <w:p w14:paraId="0BE97CCC" w14:textId="77777777" w:rsidR="00ED673F" w:rsidRPr="00ED673F" w:rsidRDefault="00ED673F" w:rsidP="00ED673F">
      <w:pPr>
        <w:spacing w:after="0"/>
      </w:pPr>
    </w:p>
    <w:p w14:paraId="176551D0" w14:textId="77777777" w:rsidR="00ED673F" w:rsidRPr="00ED673F" w:rsidRDefault="00ED673F" w:rsidP="00ED673F">
      <w:pPr>
        <w:spacing w:after="0"/>
        <w:jc w:val="both"/>
        <w:rPr>
          <w:b/>
          <w:color w:val="4F81BD"/>
        </w:rPr>
      </w:pPr>
      <w:r w:rsidRPr="00ED673F">
        <w:rPr>
          <w:b/>
          <w:color w:val="4F81BD"/>
        </w:rPr>
        <w:t>Special Rates</w:t>
      </w:r>
    </w:p>
    <w:p w14:paraId="250058C7" w14:textId="77777777" w:rsidR="00ED673F" w:rsidRPr="00ED673F" w:rsidRDefault="00ED673F" w:rsidP="00ED673F">
      <w:pPr>
        <w:spacing w:after="0"/>
      </w:pPr>
      <w:r w:rsidRPr="00ED673F">
        <w:t xml:space="preserve">A rate or charge declared by Council for a specific purpose and is cost neutral to Council.  </w:t>
      </w:r>
    </w:p>
    <w:p w14:paraId="195A9752" w14:textId="77777777" w:rsidR="00ED673F" w:rsidRPr="00ED673F" w:rsidRDefault="00ED673F" w:rsidP="00ED673F">
      <w:pPr>
        <w:spacing w:after="0"/>
      </w:pPr>
    </w:p>
    <w:p w14:paraId="436BF423" w14:textId="77777777" w:rsidR="00ED673F" w:rsidRPr="00ED673F" w:rsidRDefault="00ED673F" w:rsidP="00ED673F">
      <w:pPr>
        <w:spacing w:after="0"/>
        <w:jc w:val="both"/>
        <w:rPr>
          <w:b/>
          <w:color w:val="4F81BD"/>
        </w:rPr>
      </w:pPr>
      <w:r w:rsidRPr="00ED673F">
        <w:rPr>
          <w:b/>
          <w:color w:val="4F81BD"/>
        </w:rPr>
        <w:t>Underlying Revenue</w:t>
      </w:r>
    </w:p>
    <w:p w14:paraId="1F81CA45" w14:textId="77777777" w:rsidR="00ED673F" w:rsidRPr="00ED673F" w:rsidRDefault="00ED673F" w:rsidP="00ED673F">
      <w:pPr>
        <w:spacing w:after="0"/>
      </w:pPr>
      <w:r w:rsidRPr="00ED673F">
        <w:t>Is total income/revenue excluding:</w:t>
      </w:r>
    </w:p>
    <w:p w14:paraId="51396D97" w14:textId="77777777" w:rsidR="00ED673F" w:rsidRPr="00ED673F" w:rsidRDefault="00ED673F" w:rsidP="00912294">
      <w:pPr>
        <w:pStyle w:val="ListParagraph"/>
        <w:numPr>
          <w:ilvl w:val="0"/>
          <w:numId w:val="10"/>
        </w:numPr>
        <w:tabs>
          <w:tab w:val="clear" w:pos="-3060"/>
          <w:tab w:val="clear" w:pos="-2340"/>
          <w:tab w:val="clear" w:pos="6300"/>
        </w:tabs>
        <w:suppressAutoHyphens w:val="0"/>
        <w:spacing w:after="0"/>
      </w:pPr>
      <w:r w:rsidRPr="00ED673F">
        <w:t>Non-recurrent capital grants used to fund capital expenditure</w:t>
      </w:r>
    </w:p>
    <w:p w14:paraId="232E205C" w14:textId="77777777" w:rsidR="00ED673F" w:rsidRPr="00ED673F" w:rsidRDefault="00ED673F" w:rsidP="00912294">
      <w:pPr>
        <w:pStyle w:val="ListParagraph"/>
        <w:numPr>
          <w:ilvl w:val="0"/>
          <w:numId w:val="10"/>
        </w:numPr>
        <w:tabs>
          <w:tab w:val="clear" w:pos="-3060"/>
          <w:tab w:val="clear" w:pos="-2340"/>
          <w:tab w:val="clear" w:pos="6300"/>
        </w:tabs>
        <w:suppressAutoHyphens w:val="0"/>
        <w:spacing w:after="0"/>
      </w:pPr>
      <w:r w:rsidRPr="00ED673F">
        <w:t>Non-monetary asset contributions</w:t>
      </w:r>
    </w:p>
    <w:p w14:paraId="3B9C2F7B" w14:textId="77777777" w:rsidR="00ED673F" w:rsidRPr="00ED673F" w:rsidRDefault="00ED673F" w:rsidP="00912294">
      <w:pPr>
        <w:pStyle w:val="ListParagraph"/>
        <w:numPr>
          <w:ilvl w:val="0"/>
          <w:numId w:val="10"/>
        </w:numPr>
        <w:tabs>
          <w:tab w:val="clear" w:pos="-3060"/>
          <w:tab w:val="clear" w:pos="-2340"/>
          <w:tab w:val="clear" w:pos="6300"/>
        </w:tabs>
        <w:suppressAutoHyphens w:val="0"/>
        <w:spacing w:after="0"/>
      </w:pPr>
      <w:r w:rsidRPr="00ED673F">
        <w:t>Contributions to fund capital expenditure from sources other than those referred to above.</w:t>
      </w:r>
    </w:p>
    <w:p w14:paraId="71D65527" w14:textId="77777777" w:rsidR="00ED673F" w:rsidRPr="00ED673F" w:rsidRDefault="00ED673F" w:rsidP="00ED673F">
      <w:pPr>
        <w:spacing w:after="0"/>
      </w:pPr>
    </w:p>
    <w:p w14:paraId="468DA058" w14:textId="77777777" w:rsidR="00ED673F" w:rsidRPr="00ED673F" w:rsidRDefault="00ED673F" w:rsidP="00ED673F">
      <w:pPr>
        <w:spacing w:after="0"/>
        <w:jc w:val="both"/>
        <w:rPr>
          <w:b/>
          <w:color w:val="4F81BD"/>
        </w:rPr>
      </w:pPr>
      <w:r w:rsidRPr="00ED673F">
        <w:rPr>
          <w:b/>
          <w:color w:val="4F81BD"/>
        </w:rPr>
        <w:t>Upgrade expenditure</w:t>
      </w:r>
    </w:p>
    <w:p w14:paraId="424D2E74" w14:textId="77777777" w:rsidR="00ED673F" w:rsidRPr="00ED673F" w:rsidRDefault="00ED673F" w:rsidP="00ED673F">
      <w:pPr>
        <w:spacing w:after="0"/>
      </w:pPr>
      <w:r w:rsidRPr="00ED673F">
        <w:t>Capital expenditure on an existing asset to provide higher level of service or increase the life of the asset beyond its original life.</w:t>
      </w:r>
    </w:p>
    <w:p w14:paraId="25FBF3DB" w14:textId="77777777" w:rsidR="00ED673F" w:rsidRPr="00ED673F" w:rsidRDefault="00ED673F" w:rsidP="00ED673F">
      <w:pPr>
        <w:spacing w:after="0"/>
      </w:pPr>
    </w:p>
    <w:p w14:paraId="4DC6D89F" w14:textId="77777777" w:rsidR="00ED673F" w:rsidRPr="00ED673F" w:rsidRDefault="00ED673F" w:rsidP="00ED673F">
      <w:pPr>
        <w:spacing w:after="0"/>
        <w:jc w:val="both"/>
        <w:rPr>
          <w:b/>
          <w:color w:val="4F81BD"/>
        </w:rPr>
      </w:pPr>
      <w:r w:rsidRPr="00ED673F">
        <w:rPr>
          <w:b/>
          <w:color w:val="4F81BD"/>
        </w:rPr>
        <w:t>Victorian Audit General Office</w:t>
      </w:r>
    </w:p>
    <w:p w14:paraId="60713137" w14:textId="77777777" w:rsidR="00ED673F" w:rsidRPr="00ED673F" w:rsidRDefault="00ED673F" w:rsidP="00ED673F">
      <w:pPr>
        <w:spacing w:after="0"/>
      </w:pPr>
      <w:r w:rsidRPr="00ED673F">
        <w:t>An independent office of the Victorian Parliament that examines the management of resources within the public sector by conducting and reporting on financial and performance audits.</w:t>
      </w:r>
    </w:p>
    <w:p w14:paraId="7179E292" w14:textId="77777777" w:rsidR="00ED673F" w:rsidRPr="00ED673F" w:rsidRDefault="00ED673F" w:rsidP="00ED673F">
      <w:pPr>
        <w:spacing w:after="0"/>
      </w:pPr>
    </w:p>
    <w:p w14:paraId="6BF5E1D7" w14:textId="77777777" w:rsidR="00ED673F" w:rsidRPr="00ED673F" w:rsidRDefault="00ED673F" w:rsidP="00ED673F">
      <w:pPr>
        <w:spacing w:after="0"/>
        <w:jc w:val="both"/>
        <w:rPr>
          <w:b/>
          <w:color w:val="4F81BD"/>
        </w:rPr>
      </w:pPr>
      <w:r w:rsidRPr="00ED673F">
        <w:rPr>
          <w:b/>
          <w:color w:val="4F81BD"/>
        </w:rPr>
        <w:t>Working Capital Ratio</w:t>
      </w:r>
    </w:p>
    <w:p w14:paraId="52E5D709" w14:textId="77777777" w:rsidR="00ED673F" w:rsidRPr="00ED673F" w:rsidRDefault="00ED673F" w:rsidP="00ED673F">
      <w:pPr>
        <w:spacing w:after="0"/>
      </w:pPr>
      <w:r w:rsidRPr="00ED673F">
        <w:t>Is the ratio comparison of current assets to current liabilities to measure the ability of the organisation to pay existing liabilities in the next 12 months. A ratio greater than one means there are more cash and liquid assets than short-term liabilities.</w:t>
      </w:r>
    </w:p>
    <w:p w14:paraId="56775DB1" w14:textId="77777777" w:rsidR="00ED673F" w:rsidRPr="00ED673F" w:rsidRDefault="00ED673F" w:rsidP="00ED673F">
      <w:pPr>
        <w:rPr>
          <w:sz w:val="20"/>
          <w:szCs w:val="20"/>
        </w:rPr>
      </w:pPr>
      <w:r w:rsidRPr="00ED673F">
        <w:rPr>
          <w:sz w:val="20"/>
          <w:szCs w:val="20"/>
        </w:rPr>
        <w:br w:type="page"/>
      </w:r>
    </w:p>
    <w:p w14:paraId="3C523EF2" w14:textId="77777777" w:rsidR="00ED673F" w:rsidRPr="00ED673F" w:rsidRDefault="00ED673F" w:rsidP="00ED673F">
      <w:pPr>
        <w:rPr>
          <w:sz w:val="20"/>
          <w:szCs w:val="20"/>
        </w:rPr>
      </w:pPr>
    </w:p>
    <w:p w14:paraId="3A45961E" w14:textId="77777777" w:rsidR="00ED673F" w:rsidRPr="00ED673F" w:rsidRDefault="00ED673F" w:rsidP="00ED673F">
      <w:pPr>
        <w:rPr>
          <w:sz w:val="20"/>
          <w:szCs w:val="20"/>
        </w:rPr>
      </w:pPr>
    </w:p>
    <w:p w14:paraId="1A9CCC53" w14:textId="77777777" w:rsidR="00ED673F" w:rsidRPr="00ED673F" w:rsidRDefault="00ED673F" w:rsidP="00ED673F">
      <w:pPr>
        <w:jc w:val="both"/>
        <w:rPr>
          <w:sz w:val="20"/>
          <w:szCs w:val="20"/>
        </w:rPr>
      </w:pPr>
      <w:r w:rsidRPr="00ED673F">
        <w:drawing>
          <wp:anchor distT="0" distB="0" distL="114300" distR="114300" simplePos="0" relativeHeight="251659264" behindDoc="1" locked="1" layoutInCell="0" allowOverlap="1" wp14:anchorId="30BA60E1" wp14:editId="79237180">
            <wp:simplePos x="0" y="0"/>
            <wp:positionH relativeFrom="page">
              <wp:posOffset>0</wp:posOffset>
            </wp:positionH>
            <wp:positionV relativeFrom="page">
              <wp:posOffset>0</wp:posOffset>
            </wp:positionV>
            <wp:extent cx="7558405" cy="10690225"/>
            <wp:effectExtent l="0" t="0" r="4445"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8405" cy="1069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75450" w14:textId="77777777" w:rsidR="00ED673F" w:rsidRPr="00ED673F" w:rsidRDefault="00ED673F" w:rsidP="00ED673F">
      <w:pPr>
        <w:rPr>
          <w:sz w:val="20"/>
          <w:szCs w:val="20"/>
        </w:rPr>
      </w:pPr>
    </w:p>
    <w:p w14:paraId="0D4A3178" w14:textId="77777777" w:rsidR="00ED673F" w:rsidRPr="00ED673F" w:rsidRDefault="00ED673F" w:rsidP="00ED673F">
      <w:pPr>
        <w:pStyle w:val="BodyText"/>
        <w:rPr>
          <w:rFonts w:ascii="Arial" w:hAnsi="Arial" w:cs="Arial"/>
        </w:rPr>
      </w:pPr>
    </w:p>
    <w:p w14:paraId="2E95893D" w14:textId="77777777" w:rsidR="00CF0BD5" w:rsidRPr="00ED673F" w:rsidRDefault="00CF0BD5" w:rsidP="00C95F79">
      <w:pPr>
        <w:tabs>
          <w:tab w:val="clear" w:pos="-3060"/>
          <w:tab w:val="clear" w:pos="-2340"/>
          <w:tab w:val="clear" w:pos="6300"/>
        </w:tabs>
        <w:suppressAutoHyphens w:val="0"/>
        <w:spacing w:after="160" w:line="259" w:lineRule="auto"/>
        <w:rPr>
          <w:rFonts w:eastAsia="Calibri"/>
          <w:i/>
          <w:color w:val="auto"/>
          <w:sz w:val="18"/>
          <w:szCs w:val="18"/>
          <w:lang w:eastAsia="en-US"/>
        </w:rPr>
      </w:pPr>
    </w:p>
    <w:sectPr w:rsidR="00CF0BD5" w:rsidRPr="00ED673F" w:rsidSect="00461C0A">
      <w:headerReference w:type="default" r:id="rId13"/>
      <w:footerReference w:type="even" r:id="rId14"/>
      <w:footerReference w:type="default" r:id="rId15"/>
      <w:headerReference w:type="first" r:id="rId16"/>
      <w:footerReference w:type="first" r:id="rId17"/>
      <w:type w:val="continuous"/>
      <w:pgSz w:w="11906" w:h="16838"/>
      <w:pgMar w:top="851" w:right="1134" w:bottom="567"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996AF" w14:textId="77777777" w:rsidR="00410EF9" w:rsidRDefault="00410EF9" w:rsidP="00257DF2">
      <w:r>
        <w:separator/>
      </w:r>
    </w:p>
  </w:endnote>
  <w:endnote w:type="continuationSeparator" w:id="0">
    <w:p w14:paraId="3C903EED" w14:textId="77777777" w:rsidR="00410EF9" w:rsidRDefault="00410EF9" w:rsidP="0025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robat Bold">
    <w:panose1 w:val="000008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 Pro">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color w:val="FFFFFF" w:themeColor="background1"/>
      </w:rPr>
      <w:id w:val="-1309478492"/>
      <w:docPartObj>
        <w:docPartGallery w:val="Page Numbers (Bottom of Page)"/>
        <w:docPartUnique/>
      </w:docPartObj>
    </w:sdtPr>
    <w:sdtEndPr>
      <w:rPr>
        <w:noProof/>
        <w:color w:val="000000" w:themeColor="text1"/>
        <w:sz w:val="20"/>
        <w:szCs w:val="20"/>
      </w:rPr>
    </w:sdtEndPr>
    <w:sdtContent>
      <w:p w14:paraId="35EA5824" w14:textId="71D15138" w:rsidR="007B7E43" w:rsidRPr="007000A1" w:rsidRDefault="007B7E43" w:rsidP="00912294">
        <w:pPr>
          <w:pStyle w:val="Footer"/>
          <w:rPr>
            <w:sz w:val="20"/>
            <w:szCs w:val="20"/>
          </w:rPr>
        </w:pPr>
        <w:r w:rsidRPr="00912294">
          <w:rPr>
            <w:b/>
            <w:color w:val="FFFFFF" w:themeColor="background1"/>
          </w:rPr>
          <w:drawing>
            <wp:anchor distT="0" distB="0" distL="114300" distR="114300" simplePos="0" relativeHeight="251683840" behindDoc="1" locked="0" layoutInCell="1" allowOverlap="1" wp14:anchorId="10C7F0F8" wp14:editId="65D1A61F">
              <wp:simplePos x="0" y="0"/>
              <wp:positionH relativeFrom="column">
                <wp:posOffset>-720090</wp:posOffset>
              </wp:positionH>
              <wp:positionV relativeFrom="page">
                <wp:posOffset>9994790</wp:posOffset>
              </wp:positionV>
              <wp:extent cx="8314037" cy="114501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1959" cy="1148860"/>
                      </a:xfrm>
                      <a:prstGeom prst="rect">
                        <a:avLst/>
                      </a:prstGeom>
                      <a:noFill/>
                    </pic:spPr>
                  </pic:pic>
                </a:graphicData>
              </a:graphic>
              <wp14:sizeRelH relativeFrom="margin">
                <wp14:pctWidth>0</wp14:pctWidth>
              </wp14:sizeRelH>
              <wp14:sizeRelV relativeFrom="margin">
                <wp14:pctHeight>0</wp14:pctHeight>
              </wp14:sizeRelV>
            </wp:anchor>
          </w:drawing>
        </w:r>
        <w:r w:rsidRPr="00657EA1">
          <w:rPr>
            <w:b/>
            <w:color w:val="FFFFFF" w:themeColor="background1"/>
          </w:rPr>
          <w:t>City of Port Phillip</w:t>
        </w:r>
        <w:r w:rsidRPr="00657EA1">
          <w:rPr>
            <w:color w:val="FFFFFF" w:themeColor="background1"/>
          </w:rPr>
          <w:t xml:space="preserve"> • 10-Year Financial Outlook</w:t>
        </w:r>
        <w:r w:rsidRPr="00912294">
          <w:rPr>
            <w:b/>
            <w:color w:val="FFFFFF" w:themeColor="background1"/>
          </w:rPr>
          <w:t xml:space="preserve"> </w:t>
        </w:r>
        <w:r>
          <w:rPr>
            <w:b/>
            <w:color w:val="FFFFFF" w:themeColor="background1"/>
          </w:rPr>
          <w:t xml:space="preserve"> </w:t>
        </w:r>
        <w:r>
          <w:rPr>
            <w:b/>
            <w:color w:val="FFFFFF" w:themeColor="background1"/>
          </w:rPr>
          <w:tab/>
        </w:r>
        <w:r>
          <w:rPr>
            <w:b/>
            <w:color w:val="FFFFFF" w:themeColor="background1"/>
          </w:rPr>
          <w:tab/>
        </w:r>
        <w:r>
          <w:rPr>
            <w:b/>
            <w:color w:val="FFFFFF" w:themeColor="background1"/>
          </w:rPr>
          <w:tab/>
        </w:r>
        <w:r>
          <w:rPr>
            <w:b/>
            <w:color w:val="FFFFFF" w:themeColor="background1"/>
          </w:rPr>
          <w:tab/>
        </w:r>
        <w:r>
          <w:rPr>
            <w:noProof w:val="0"/>
            <w:color w:val="FFFFFF" w:themeColor="background1"/>
            <w:sz w:val="20"/>
            <w:szCs w:val="20"/>
          </w:rPr>
          <w:t>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804927324"/>
      <w:docPartObj>
        <w:docPartGallery w:val="Page Numbers (Bottom of Page)"/>
        <w:docPartUnique/>
      </w:docPartObj>
    </w:sdtPr>
    <w:sdtEndPr>
      <w:rPr>
        <w:noProof/>
      </w:rPr>
    </w:sdtEndPr>
    <w:sdtContent>
      <w:p w14:paraId="1DC62091" w14:textId="356A5E14" w:rsidR="007B7E43" w:rsidRPr="007000A1" w:rsidRDefault="007B7E43" w:rsidP="00BA1F21">
        <w:pPr>
          <w:pStyle w:val="Footer"/>
        </w:pPr>
        <w:r w:rsidRPr="00912294">
          <w:rPr>
            <w:b/>
            <w:color w:val="FFFFFF" w:themeColor="background1"/>
          </w:rPr>
          <w:drawing>
            <wp:anchor distT="0" distB="0" distL="114300" distR="114300" simplePos="0" relativeHeight="251687936" behindDoc="1" locked="0" layoutInCell="1" allowOverlap="1" wp14:anchorId="5E14025E" wp14:editId="40ABAB09">
              <wp:simplePos x="0" y="0"/>
              <wp:positionH relativeFrom="column">
                <wp:posOffset>-720090</wp:posOffset>
              </wp:positionH>
              <wp:positionV relativeFrom="page">
                <wp:posOffset>9994790</wp:posOffset>
              </wp:positionV>
              <wp:extent cx="8314037" cy="114501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1959" cy="1148860"/>
                      </a:xfrm>
                      <a:prstGeom prst="rect">
                        <a:avLst/>
                      </a:prstGeom>
                      <a:noFill/>
                    </pic:spPr>
                  </pic:pic>
                </a:graphicData>
              </a:graphic>
              <wp14:sizeRelH relativeFrom="margin">
                <wp14:pctWidth>0</wp14:pctWidth>
              </wp14:sizeRelH>
              <wp14:sizeRelV relativeFrom="margin">
                <wp14:pctHeight>0</wp14:pctHeight>
              </wp14:sizeRelV>
            </wp:anchor>
          </w:drawing>
        </w:r>
        <w:r w:rsidRPr="00657EA1">
          <w:rPr>
            <w:b/>
            <w:color w:val="FFFFFF" w:themeColor="background1"/>
          </w:rPr>
          <w:t>City of Port Phillip</w:t>
        </w:r>
        <w:r w:rsidRPr="00657EA1">
          <w:rPr>
            <w:color w:val="FFFFFF" w:themeColor="background1"/>
          </w:rPr>
          <w:t xml:space="preserve"> • 10-Year Financial Outlook</w:t>
        </w:r>
        <w:r w:rsidRPr="00912294">
          <w:rPr>
            <w:b/>
            <w:color w:val="FFFFFF" w:themeColor="background1"/>
          </w:rPr>
          <w:t xml:space="preserve"> </w:t>
        </w:r>
        <w:r>
          <w:rPr>
            <w:b/>
            <w:color w:val="FFFFFF" w:themeColor="background1"/>
          </w:rPr>
          <w:t xml:space="preserve"> </w:t>
        </w:r>
        <w:r w:rsidRPr="00BB1CB5">
          <w:rPr>
            <w:b/>
          </w:rPr>
          <w:drawing>
            <wp:anchor distT="0" distB="0" distL="114300" distR="114300" simplePos="0" relativeHeight="251685888" behindDoc="1" locked="0" layoutInCell="1" allowOverlap="1" wp14:anchorId="59CF02D1" wp14:editId="2CF381F6">
              <wp:simplePos x="0" y="0"/>
              <wp:positionH relativeFrom="column">
                <wp:posOffset>-704187</wp:posOffset>
              </wp:positionH>
              <wp:positionV relativeFrom="page">
                <wp:posOffset>10002741</wp:posOffset>
              </wp:positionV>
              <wp:extent cx="9022991" cy="1137232"/>
              <wp:effectExtent l="0" t="0" r="0" b="635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2991" cy="1137232"/>
                      </a:xfrm>
                      <a:prstGeom prst="rect">
                        <a:avLst/>
                      </a:prstGeom>
                      <a:noFill/>
                    </pic:spPr>
                  </pic:pic>
                </a:graphicData>
              </a:graphic>
              <wp14:sizeRelH relativeFrom="margin">
                <wp14:pctWidth>0</wp14:pctWidth>
              </wp14:sizeRelH>
              <wp14:sizeRelV relativeFrom="margin">
                <wp14:pctHeight>0</wp14:pctHeight>
              </wp14:sizeRelV>
            </wp:anchor>
          </w:drawing>
        </w:r>
        <w:r>
          <w:rPr>
            <w:b/>
            <w:color w:val="FFFFFF" w:themeColor="background1"/>
          </w:rPr>
          <w:t xml:space="preserve"> </w:t>
        </w:r>
        <w:r>
          <w:rPr>
            <w:b/>
            <w:color w:val="FFFFFF" w:themeColor="background1"/>
          </w:rPr>
          <w:tab/>
        </w:r>
        <w:r>
          <w:rPr>
            <w:b/>
            <w:color w:val="FFFFFF" w:themeColor="background1"/>
          </w:rPr>
          <w:tab/>
        </w:r>
        <w:r>
          <w:rPr>
            <w:b/>
            <w:color w:val="FFFFFF" w:themeColor="background1"/>
          </w:rPr>
          <w:tab/>
        </w:r>
        <w:r>
          <w:rPr>
            <w:b/>
            <w:color w:val="FFFFFF" w:themeColor="background1"/>
          </w:rPr>
          <w:tab/>
        </w:r>
        <w:r w:rsidRPr="00BA1F21">
          <w:rPr>
            <w:noProof w:val="0"/>
            <w:color w:val="FFFFFF" w:themeColor="background1"/>
          </w:rPr>
          <w:fldChar w:fldCharType="begin"/>
        </w:r>
        <w:r w:rsidRPr="00BA1F21">
          <w:rPr>
            <w:color w:val="FFFFFF" w:themeColor="background1"/>
          </w:rPr>
          <w:instrText xml:space="preserve"> PAGE   \* MERGEFORMAT </w:instrText>
        </w:r>
        <w:r w:rsidRPr="00BA1F21">
          <w:rPr>
            <w:noProof w:val="0"/>
            <w:color w:val="FFFFFF" w:themeColor="background1"/>
          </w:rPr>
          <w:fldChar w:fldCharType="separate"/>
        </w:r>
        <w:r w:rsidR="00106730">
          <w:rPr>
            <w:color w:val="FFFFFF" w:themeColor="background1"/>
          </w:rPr>
          <w:t>19</w:t>
        </w:r>
        <w:r w:rsidRPr="00BA1F21">
          <w:rPr>
            <w:color w:val="FFFFFF" w:themeColor="background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4C2D4" w14:textId="1B1255D0" w:rsidR="007B7E43" w:rsidRDefault="007B7E43">
    <w:pPr>
      <w:pStyle w:val="Footer"/>
    </w:pPr>
    <w:r>
      <mc:AlternateContent>
        <mc:Choice Requires="wps">
          <w:drawing>
            <wp:anchor distT="45720" distB="45720" distL="114300" distR="114300" simplePos="0" relativeHeight="251681792" behindDoc="0" locked="0" layoutInCell="1" allowOverlap="1" wp14:anchorId="50E2B295" wp14:editId="0DE60619">
              <wp:simplePos x="0" y="0"/>
              <wp:positionH relativeFrom="column">
                <wp:posOffset>1258485</wp:posOffset>
              </wp:positionH>
              <wp:positionV relativeFrom="paragraph">
                <wp:posOffset>-3741287</wp:posOffset>
              </wp:positionV>
              <wp:extent cx="3684270" cy="1610360"/>
              <wp:effectExtent l="0" t="0" r="1143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270" cy="1610360"/>
                      </a:xfrm>
                      <a:prstGeom prst="rect">
                        <a:avLst/>
                      </a:prstGeom>
                      <a:noFill/>
                      <a:ln w="9525">
                        <a:noFill/>
                        <a:miter lim="800000"/>
                        <a:headEnd/>
                        <a:tailEnd/>
                      </a:ln>
                    </wps:spPr>
                    <wps:txbx>
                      <w:txbxContent>
                        <w:p w14:paraId="55C3D110" w14:textId="0C7EC603" w:rsidR="007B7E43" w:rsidRPr="001750B0" w:rsidRDefault="007B7E43" w:rsidP="001750B0">
                          <w:pPr>
                            <w:jc w:val="center"/>
                            <w:rPr>
                              <w:b/>
                              <w:color w:val="FFFFFF" w:themeColor="background1"/>
                              <w:sz w:val="36"/>
                              <w:szCs w:val="36"/>
                            </w:rPr>
                          </w:pPr>
                          <w:r w:rsidRPr="001750B0">
                            <w:rPr>
                              <w:b/>
                              <w:color w:val="FFFFFF" w:themeColor="background1"/>
                              <w:sz w:val="36"/>
                              <w:szCs w:val="36"/>
                            </w:rPr>
                            <w:t>Insert picture here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E2B295" id="_x0000_t202" coordsize="21600,21600" o:spt="202" path="m,l,21600r21600,l21600,xe">
              <v:stroke joinstyle="miter"/>
              <v:path gradientshapeok="t" o:connecttype="rect"/>
            </v:shapetype>
            <v:shape id="_x0000_s1027" type="#_x0000_t202" style="position:absolute;margin-left:99.1pt;margin-top:-294.6pt;width:290.1pt;height:126.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" filled="f" stroked="f">
              <v:textbox inset="0,0,0,0">
                <w:txbxContent>
                  <w:p w14:paraId="55C3D110" w14:textId="0C7EC603" w:rsidR="007B7E43" w:rsidRPr="001750B0" w:rsidRDefault="007B7E43" w:rsidP="001750B0">
                    <w:pPr>
                      <w:jc w:val="center"/>
                      <w:rPr>
                        <w:b/>
                        <w:color w:val="FFFFFF" w:themeColor="background1"/>
                        <w:sz w:val="36"/>
                        <w:szCs w:val="36"/>
                      </w:rPr>
                    </w:pPr>
                    <w:r w:rsidRPr="001750B0">
                      <w:rPr>
                        <w:b/>
                        <w:color w:val="FFFFFF" w:themeColor="background1"/>
                        <w:sz w:val="36"/>
                        <w:szCs w:val="36"/>
                      </w:rPr>
                      <w:t>Insert picture here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6B89A" w14:textId="77777777" w:rsidR="00410EF9" w:rsidRDefault="00410EF9" w:rsidP="00257DF2">
      <w:r>
        <w:separator/>
      </w:r>
    </w:p>
  </w:footnote>
  <w:footnote w:type="continuationSeparator" w:id="0">
    <w:p w14:paraId="33B80533" w14:textId="77777777" w:rsidR="00410EF9" w:rsidRDefault="00410EF9" w:rsidP="00257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059FF" w14:textId="0FC56926" w:rsidR="007B7E43" w:rsidRDefault="007B7E43">
    <w:pPr>
      <w:pStyle w:val="Header"/>
    </w:pPr>
    <w:r w:rsidRPr="009C64CB">
      <mc:AlternateContent>
        <mc:Choice Requires="wps">
          <w:drawing>
            <wp:anchor distT="45720" distB="45720" distL="114300" distR="114300" simplePos="0" relativeHeight="251669504" behindDoc="0" locked="1" layoutInCell="1" allowOverlap="1" wp14:anchorId="5A5D7D2F" wp14:editId="2A177473">
              <wp:simplePos x="0" y="0"/>
              <wp:positionH relativeFrom="margin">
                <wp:align>left</wp:align>
              </wp:positionH>
              <wp:positionV relativeFrom="page">
                <wp:posOffset>276225</wp:posOffset>
              </wp:positionV>
              <wp:extent cx="3790950" cy="329565"/>
              <wp:effectExtent l="0" t="0" r="0" b="1333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9565"/>
                      </a:xfrm>
                      <a:prstGeom prst="rect">
                        <a:avLst/>
                      </a:prstGeom>
                      <a:noFill/>
                      <a:ln w="9525">
                        <a:noFill/>
                        <a:miter lim="800000"/>
                        <a:headEnd/>
                        <a:tailEnd/>
                      </a:ln>
                    </wps:spPr>
                    <wps:txbx>
                      <w:txbxContent>
                        <w:p w14:paraId="0A089DB2" w14:textId="5B248418" w:rsidR="007B7E43" w:rsidRPr="00E00AEE" w:rsidRDefault="007B7E43"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Report</w:t>
                          </w:r>
                          <w:r w:rsidRPr="00E00AEE">
                            <w:rPr>
                              <w:rFonts w:ascii="Arial" w:hAnsi="Arial" w:cs="Arial"/>
                              <w:b/>
                              <w:bCs/>
                              <w:color w:val="FFFFFF" w:themeColor="background1"/>
                            </w:rPr>
                            <w:t xml:space="preserve"> Name</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A5D7D2F" id="_x0000_t202" coordsize="21600,21600" o:spt="202" path="m,l,21600r21600,l21600,xe">
              <v:stroke joinstyle="miter"/>
              <v:path gradientshapeok="t" o:connecttype="rect"/>
            </v:shapetype>
            <v:shape id="Text Box 2" o:spid="_x0000_s1026" type="#_x0000_t202" style="position:absolute;margin-left:0;margin-top:21.75pt;width:298.5pt;height:25.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" filled="f" stroked="f">
              <v:textbox inset="0,0,0,0">
                <w:txbxContent>
                  <w:p w14:paraId="0A089DB2" w14:textId="5B248418" w:rsidR="007B7E43" w:rsidRPr="00E00AEE" w:rsidRDefault="007B7E43"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Report</w:t>
                    </w:r>
                    <w:r w:rsidRPr="00E00AEE">
                      <w:rPr>
                        <w:rFonts w:ascii="Arial" w:hAnsi="Arial" w:cs="Arial"/>
                        <w:b/>
                        <w:bCs/>
                        <w:color w:val="FFFFFF" w:themeColor="background1"/>
                      </w:rPr>
                      <w:t xml:space="preserve"> Name</w:t>
                    </w: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D9E94" w14:textId="247F9D3A" w:rsidR="007B7E43" w:rsidRDefault="007B7E43" w:rsidP="00A15DC8">
    <w:r>
      <mc:AlternateContent>
        <mc:Choice Requires="wpg">
          <w:drawing>
            <wp:anchor distT="0" distB="0" distL="114300" distR="114300" simplePos="0" relativeHeight="251673600" behindDoc="0" locked="0" layoutInCell="1" allowOverlap="1" wp14:anchorId="4EBF7F4E" wp14:editId="07223EB6">
              <wp:simplePos x="0" y="0"/>
              <wp:positionH relativeFrom="column">
                <wp:posOffset>-720090</wp:posOffset>
              </wp:positionH>
              <wp:positionV relativeFrom="paragraph">
                <wp:posOffset>-450215</wp:posOffset>
              </wp:positionV>
              <wp:extent cx="7561893" cy="10681230"/>
              <wp:effectExtent l="0" t="0" r="20320" b="25400"/>
              <wp:wrapNone/>
              <wp:docPr id="1" name="Group 1"/>
              <wp:cNvGraphicFramePr/>
              <a:graphic xmlns:a="http://schemas.openxmlformats.org/drawingml/2006/main">
                <a:graphicData uri="http://schemas.microsoft.com/office/word/2010/wordprocessingGroup">
                  <wpg:wgp>
                    <wpg:cNvGrpSpPr/>
                    <wpg:grpSpPr>
                      <a:xfrm>
                        <a:off x="0" y="0"/>
                        <a:ext cx="7561893" cy="10681230"/>
                        <a:chOff x="0" y="0"/>
                        <a:chExt cx="7561893" cy="10681230"/>
                      </a:xfrm>
                    </wpg:grpSpPr>
                    <wps:wsp>
                      <wps:cNvPr id="6" name="Rectangle 6"/>
                      <wps:cNvSpPr/>
                      <wps:spPr>
                        <a:xfrm>
                          <a:off x="0" y="3862316"/>
                          <a:ext cx="7559040" cy="6818914"/>
                        </a:xfrm>
                        <a:prstGeom prst="rect">
                          <a:avLst/>
                        </a:prstGeom>
                        <a:gradFill flip="none" rotWithShape="1">
                          <a:gsLst>
                            <a:gs pos="0">
                              <a:schemeClr val="accent3">
                                <a:tint val="66000"/>
                                <a:satMod val="160000"/>
                              </a:schemeClr>
                            </a:gs>
                            <a:gs pos="50000">
                              <a:schemeClr val="accent3">
                                <a:tint val="44500"/>
                                <a:satMod val="160000"/>
                              </a:schemeClr>
                            </a:gs>
                            <a:gs pos="100000">
                              <a:schemeClr val="accent3">
                                <a:tint val="23500"/>
                                <a:satMod val="160000"/>
                              </a:schemeClr>
                            </a:gs>
                          </a:gsLst>
                          <a:lin ang="5400000" scaled="1"/>
                          <a:tileRect/>
                        </a:gra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3648" y="0"/>
                          <a:ext cx="7548245" cy="50342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4E75DC5" id="Group 1" o:spid="_x0000_s1026" style="position:absolute;margin-left:-56.7pt;margin-top:-35.45pt;width:595.4pt;height:841.05pt;z-index:251673600" coordsize="75618,106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">
              <v:rect id="Rectangle 6" o:spid="_x0000_s1027" style="position:absolute;top:38623;width:75590;height:68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cc8QA&#10;AADaAAAADwAAAGRycy9kb3ducmV2LnhtbESP0WrCQBRE3wv+w3IFX0rd2IdUoqtUwSpWBFM/4JK9&#10;zQazd2N2Nenfd4VCH4eZOcPMl72txZ1aXzlWMBknIIgLpysuFZy/Ni9TED4ga6wdk4If8rBcDJ7m&#10;mGnX8YnueShFhLDPUIEJocmk9IUhi37sGuLofbvWYoiyLaVusYtwW8vXJEmlxYrjgsGG1oaKS36z&#10;Ci7XdF3mhzf83K+648fzZlVtj0ap0bB/n4EI1If/8F97pxWk8LgSb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LHHPEAAAA2gAAAA8AAAAAAAAAAAAAAAAAmAIAAGRycy9k&#10;b3ducmV2LnhtbFBLBQYAAAAABAAEAPUAAACJAwAAAAA=&#10;" fillcolor="#c3c3c3 [2134]" strokecolor="#525252 [1606]" strokeweight="1pt">
                <v:fill color2="#eaeaea [758]" rotate="t" colors="0 #cacaca;.5 #ddd;1 #eee"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36;width:75482;height:503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mMVrFAAAA2gAAAA8AAABkcnMvZG93bnJldi54bWxEj1FLw0AQhN8F/8Oxgi/SXgy0ibHXUrUF&#10;oQq2+gOW3DYJze2F3Nqm/75XEHwcZuYbZrYYXKuO1IfGs4HHcQKKuPS24crAz/d6lIMKgmyx9UwG&#10;zhRgMb+9mWFh/Ym3dNxJpSKEQ4EGapGu0DqUNTkMY98RR2/ve4cSZV9p2+Mpwl2r0ySZaocNx4Ua&#10;O3qtqTzsfp2BPN18vsjH0/Qr2y/lsEoz/faQGXN/NyyfQQkN8h/+a79bAxO4Xok3QM8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ZjFaxQAAANoAAAAPAAAAAAAAAAAAAAAA&#10;AJ8CAABkcnMvZG93bnJldi54bWxQSwUGAAAAAAQABAD3AAAAkQMAAAAA&#10;">
                <v:imagedata r:id="rId2" o:title=""/>
                <v:path arrowok="t"/>
              </v:shape>
            </v:group>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6E342D"/>
    <w:multiLevelType w:val="hybridMultilevel"/>
    <w:tmpl w:val="AF0A93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BA06CC"/>
    <w:multiLevelType w:val="hybridMultilevel"/>
    <w:tmpl w:val="BD12F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0C2FF3"/>
    <w:multiLevelType w:val="hybridMultilevel"/>
    <w:tmpl w:val="8D905520"/>
    <w:lvl w:ilvl="0" w:tplc="6254BC1C">
      <w:start w:val="1"/>
      <w:numFmt w:val="bullet"/>
      <w:pStyle w:val="c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61B24190"/>
    <w:multiLevelType w:val="hybridMultilevel"/>
    <w:tmpl w:val="B9D22F04"/>
    <w:lvl w:ilvl="0" w:tplc="3A9CE21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AAE5119"/>
    <w:multiLevelType w:val="hybridMultilevel"/>
    <w:tmpl w:val="1B40D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B86041E"/>
    <w:multiLevelType w:val="hybridMultilevel"/>
    <w:tmpl w:val="24505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BED0023"/>
    <w:multiLevelType w:val="hybridMultilevel"/>
    <w:tmpl w:val="D9622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3"/>
  </w:num>
  <w:num w:numId="6">
    <w:abstractNumId w:val="10"/>
  </w:num>
  <w:num w:numId="7">
    <w:abstractNumId w:val="2"/>
  </w:num>
  <w:num w:numId="8">
    <w:abstractNumId w:val="9"/>
  </w:num>
  <w:num w:numId="9">
    <w:abstractNumId w:val="8"/>
  </w:num>
  <w:num w:numId="10">
    <w:abstractNumId w:val="4"/>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657"/>
    <w:rsid w:val="000065BE"/>
    <w:rsid w:val="0001381D"/>
    <w:rsid w:val="0002705F"/>
    <w:rsid w:val="0002707D"/>
    <w:rsid w:val="00035135"/>
    <w:rsid w:val="000405F0"/>
    <w:rsid w:val="0004417A"/>
    <w:rsid w:val="00050FD6"/>
    <w:rsid w:val="00054536"/>
    <w:rsid w:val="00067770"/>
    <w:rsid w:val="000760E5"/>
    <w:rsid w:val="00095316"/>
    <w:rsid w:val="0009533C"/>
    <w:rsid w:val="000A43BE"/>
    <w:rsid w:val="000A7991"/>
    <w:rsid w:val="000C2FF8"/>
    <w:rsid w:val="000C77F0"/>
    <w:rsid w:val="000E592D"/>
    <w:rsid w:val="000E6C6F"/>
    <w:rsid w:val="000F2FCB"/>
    <w:rsid w:val="00104AEA"/>
    <w:rsid w:val="00106730"/>
    <w:rsid w:val="00111D07"/>
    <w:rsid w:val="00116566"/>
    <w:rsid w:val="0016603A"/>
    <w:rsid w:val="0017122A"/>
    <w:rsid w:val="00172CF5"/>
    <w:rsid w:val="001750B0"/>
    <w:rsid w:val="00185568"/>
    <w:rsid w:val="0019509C"/>
    <w:rsid w:val="001B5ABA"/>
    <w:rsid w:val="001C2A76"/>
    <w:rsid w:val="001C5443"/>
    <w:rsid w:val="001E0F66"/>
    <w:rsid w:val="00217B11"/>
    <w:rsid w:val="00225B2E"/>
    <w:rsid w:val="0022690D"/>
    <w:rsid w:val="002275D5"/>
    <w:rsid w:val="00236741"/>
    <w:rsid w:val="0023681B"/>
    <w:rsid w:val="00243370"/>
    <w:rsid w:val="002567F4"/>
    <w:rsid w:val="0025690B"/>
    <w:rsid w:val="00257DF2"/>
    <w:rsid w:val="00264965"/>
    <w:rsid w:val="00264AC9"/>
    <w:rsid w:val="0026750B"/>
    <w:rsid w:val="00271196"/>
    <w:rsid w:val="00272496"/>
    <w:rsid w:val="00284161"/>
    <w:rsid w:val="0029558D"/>
    <w:rsid w:val="002B0061"/>
    <w:rsid w:val="002C2500"/>
    <w:rsid w:val="002F7498"/>
    <w:rsid w:val="003038E2"/>
    <w:rsid w:val="00313EE7"/>
    <w:rsid w:val="0031723F"/>
    <w:rsid w:val="00342209"/>
    <w:rsid w:val="00344F41"/>
    <w:rsid w:val="00351F7C"/>
    <w:rsid w:val="0038267D"/>
    <w:rsid w:val="00397553"/>
    <w:rsid w:val="003D2CEC"/>
    <w:rsid w:val="003D3B15"/>
    <w:rsid w:val="003F0EE4"/>
    <w:rsid w:val="003F0FCA"/>
    <w:rsid w:val="003F4F1E"/>
    <w:rsid w:val="00410EF9"/>
    <w:rsid w:val="0042311E"/>
    <w:rsid w:val="004256FA"/>
    <w:rsid w:val="00444C0E"/>
    <w:rsid w:val="004501C8"/>
    <w:rsid w:val="00461C0A"/>
    <w:rsid w:val="00472D78"/>
    <w:rsid w:val="00495072"/>
    <w:rsid w:val="00495D21"/>
    <w:rsid w:val="004B0E26"/>
    <w:rsid w:val="004B72B2"/>
    <w:rsid w:val="004C37A4"/>
    <w:rsid w:val="004C54F7"/>
    <w:rsid w:val="004D25B3"/>
    <w:rsid w:val="004D5825"/>
    <w:rsid w:val="004E0282"/>
    <w:rsid w:val="005036FB"/>
    <w:rsid w:val="00504958"/>
    <w:rsid w:val="00514C13"/>
    <w:rsid w:val="00516686"/>
    <w:rsid w:val="00532BA3"/>
    <w:rsid w:val="00544371"/>
    <w:rsid w:val="005445FB"/>
    <w:rsid w:val="00550E66"/>
    <w:rsid w:val="005A6FDD"/>
    <w:rsid w:val="005B2EBB"/>
    <w:rsid w:val="005D59A1"/>
    <w:rsid w:val="00606236"/>
    <w:rsid w:val="0062624F"/>
    <w:rsid w:val="00636814"/>
    <w:rsid w:val="00641646"/>
    <w:rsid w:val="0065061E"/>
    <w:rsid w:val="00657EA1"/>
    <w:rsid w:val="00673C70"/>
    <w:rsid w:val="00681118"/>
    <w:rsid w:val="006B36EE"/>
    <w:rsid w:val="006B7D4A"/>
    <w:rsid w:val="006D1B97"/>
    <w:rsid w:val="006D3396"/>
    <w:rsid w:val="006D6905"/>
    <w:rsid w:val="006E2E9B"/>
    <w:rsid w:val="006E6F0E"/>
    <w:rsid w:val="007000A1"/>
    <w:rsid w:val="0071014D"/>
    <w:rsid w:val="00720A6C"/>
    <w:rsid w:val="00730D8B"/>
    <w:rsid w:val="007377C9"/>
    <w:rsid w:val="00741E1F"/>
    <w:rsid w:val="00753A10"/>
    <w:rsid w:val="00754231"/>
    <w:rsid w:val="00760975"/>
    <w:rsid w:val="00797723"/>
    <w:rsid w:val="007B3F03"/>
    <w:rsid w:val="007B7E43"/>
    <w:rsid w:val="007C4497"/>
    <w:rsid w:val="007C6D92"/>
    <w:rsid w:val="007D72D9"/>
    <w:rsid w:val="007E07BB"/>
    <w:rsid w:val="007E5C07"/>
    <w:rsid w:val="007F0854"/>
    <w:rsid w:val="008019B6"/>
    <w:rsid w:val="0081635D"/>
    <w:rsid w:val="00837EA2"/>
    <w:rsid w:val="00854858"/>
    <w:rsid w:val="008614F3"/>
    <w:rsid w:val="00865547"/>
    <w:rsid w:val="00871225"/>
    <w:rsid w:val="00886B3B"/>
    <w:rsid w:val="00892052"/>
    <w:rsid w:val="00896E06"/>
    <w:rsid w:val="008A10FE"/>
    <w:rsid w:val="008A6C8A"/>
    <w:rsid w:val="008D3D37"/>
    <w:rsid w:val="008E5843"/>
    <w:rsid w:val="008F41F0"/>
    <w:rsid w:val="00912294"/>
    <w:rsid w:val="009240F2"/>
    <w:rsid w:val="00932B72"/>
    <w:rsid w:val="0095067A"/>
    <w:rsid w:val="00972B8F"/>
    <w:rsid w:val="00973287"/>
    <w:rsid w:val="00975C82"/>
    <w:rsid w:val="00982528"/>
    <w:rsid w:val="00986A31"/>
    <w:rsid w:val="00996386"/>
    <w:rsid w:val="009A0C7B"/>
    <w:rsid w:val="009A1EFE"/>
    <w:rsid w:val="009A61FE"/>
    <w:rsid w:val="009B7326"/>
    <w:rsid w:val="009C3CA0"/>
    <w:rsid w:val="009C64CB"/>
    <w:rsid w:val="009F143F"/>
    <w:rsid w:val="00A11A39"/>
    <w:rsid w:val="00A15DC8"/>
    <w:rsid w:val="00A221D5"/>
    <w:rsid w:val="00A362EB"/>
    <w:rsid w:val="00A36A57"/>
    <w:rsid w:val="00A36DCF"/>
    <w:rsid w:val="00A51317"/>
    <w:rsid w:val="00A60D51"/>
    <w:rsid w:val="00A72511"/>
    <w:rsid w:val="00A75267"/>
    <w:rsid w:val="00A80691"/>
    <w:rsid w:val="00AB2787"/>
    <w:rsid w:val="00AB4632"/>
    <w:rsid w:val="00AC1521"/>
    <w:rsid w:val="00AD102A"/>
    <w:rsid w:val="00AD1EAF"/>
    <w:rsid w:val="00AD569C"/>
    <w:rsid w:val="00B01D0B"/>
    <w:rsid w:val="00B4648F"/>
    <w:rsid w:val="00B62322"/>
    <w:rsid w:val="00B82918"/>
    <w:rsid w:val="00BA1F21"/>
    <w:rsid w:val="00BA3E49"/>
    <w:rsid w:val="00BB0B9B"/>
    <w:rsid w:val="00BC1622"/>
    <w:rsid w:val="00BD376F"/>
    <w:rsid w:val="00BD74B7"/>
    <w:rsid w:val="00BF4866"/>
    <w:rsid w:val="00C32473"/>
    <w:rsid w:val="00C6700E"/>
    <w:rsid w:val="00C71D6E"/>
    <w:rsid w:val="00C7365B"/>
    <w:rsid w:val="00C74C4D"/>
    <w:rsid w:val="00C94CB3"/>
    <w:rsid w:val="00C95AEB"/>
    <w:rsid w:val="00C95F79"/>
    <w:rsid w:val="00CA3F76"/>
    <w:rsid w:val="00CB303C"/>
    <w:rsid w:val="00CC1E06"/>
    <w:rsid w:val="00CC528D"/>
    <w:rsid w:val="00CD4953"/>
    <w:rsid w:val="00CE5D54"/>
    <w:rsid w:val="00CF0BD5"/>
    <w:rsid w:val="00CF39A5"/>
    <w:rsid w:val="00D12C9A"/>
    <w:rsid w:val="00D134B2"/>
    <w:rsid w:val="00D13EC6"/>
    <w:rsid w:val="00D5421E"/>
    <w:rsid w:val="00D55960"/>
    <w:rsid w:val="00D55AF0"/>
    <w:rsid w:val="00D60E63"/>
    <w:rsid w:val="00D674D2"/>
    <w:rsid w:val="00D879D2"/>
    <w:rsid w:val="00DA1E0B"/>
    <w:rsid w:val="00DA6DED"/>
    <w:rsid w:val="00DC3F14"/>
    <w:rsid w:val="00DC75EB"/>
    <w:rsid w:val="00DD1FD7"/>
    <w:rsid w:val="00E00AEE"/>
    <w:rsid w:val="00E046EF"/>
    <w:rsid w:val="00E07C5A"/>
    <w:rsid w:val="00E10AF7"/>
    <w:rsid w:val="00E227BF"/>
    <w:rsid w:val="00E239B0"/>
    <w:rsid w:val="00E24289"/>
    <w:rsid w:val="00E435F3"/>
    <w:rsid w:val="00E541D8"/>
    <w:rsid w:val="00E71FA1"/>
    <w:rsid w:val="00E746B2"/>
    <w:rsid w:val="00E75207"/>
    <w:rsid w:val="00E96712"/>
    <w:rsid w:val="00EA5AC3"/>
    <w:rsid w:val="00EA6CAC"/>
    <w:rsid w:val="00EB4885"/>
    <w:rsid w:val="00EB5841"/>
    <w:rsid w:val="00EC021A"/>
    <w:rsid w:val="00ED236F"/>
    <w:rsid w:val="00ED3929"/>
    <w:rsid w:val="00ED673F"/>
    <w:rsid w:val="00F00350"/>
    <w:rsid w:val="00F015D6"/>
    <w:rsid w:val="00F02814"/>
    <w:rsid w:val="00F12FFE"/>
    <w:rsid w:val="00F13657"/>
    <w:rsid w:val="00F13BE2"/>
    <w:rsid w:val="00F1755B"/>
    <w:rsid w:val="00F24AA7"/>
    <w:rsid w:val="00F3454C"/>
    <w:rsid w:val="00F47657"/>
    <w:rsid w:val="00F65372"/>
    <w:rsid w:val="00F76E65"/>
    <w:rsid w:val="00F811AA"/>
    <w:rsid w:val="00F857AA"/>
    <w:rsid w:val="00FC5062"/>
    <w:rsid w:val="00FD794E"/>
    <w:rsid w:val="00FE4FE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21ACAC"/>
  <w15:docId w15:val="{829ABA48-D096-48EE-9744-DCB25328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6B2"/>
    <w:pPr>
      <w:tabs>
        <w:tab w:val="left" w:pos="-3060"/>
        <w:tab w:val="left" w:pos="-2340"/>
        <w:tab w:val="left" w:pos="6300"/>
      </w:tabs>
      <w:suppressAutoHyphens/>
      <w:spacing w:after="120" w:line="240" w:lineRule="auto"/>
    </w:pPr>
    <w:rPr>
      <w:rFonts w:ascii="Arial" w:eastAsia="Times New Roman" w:hAnsi="Arial" w:cs="Arial"/>
      <w:noProof/>
      <w:color w:val="000000" w:themeColor="text1"/>
      <w:lang w:eastAsia="en-AU"/>
    </w:rPr>
  </w:style>
  <w:style w:type="paragraph" w:styleId="Heading1">
    <w:name w:val="heading 1"/>
    <w:basedOn w:val="Heading11"/>
    <w:next w:val="Normal"/>
    <w:link w:val="Heading1Char"/>
    <w:autoRedefine/>
    <w:qFormat/>
    <w:rsid w:val="00397553"/>
    <w:pPr>
      <w:outlineLvl w:val="0"/>
    </w:pPr>
    <w:rPr>
      <w:b/>
      <w:sz w:val="72"/>
      <w:szCs w:val="72"/>
    </w:rPr>
  </w:style>
  <w:style w:type="paragraph" w:styleId="Heading2">
    <w:name w:val="heading 2"/>
    <w:basedOn w:val="Heading21"/>
    <w:next w:val="Normal"/>
    <w:link w:val="Heading2Char"/>
    <w:autoRedefine/>
    <w:qFormat/>
    <w:rsid w:val="00AC1521"/>
    <w:pPr>
      <w:tabs>
        <w:tab w:val="left" w:pos="284"/>
        <w:tab w:val="left" w:pos="993"/>
      </w:tabs>
      <w:outlineLvl w:val="1"/>
    </w:pPr>
    <w:rPr>
      <w:color w:val="193C68"/>
      <w:sz w:val="44"/>
      <w:szCs w:val="44"/>
      <w:lang w:val="en-US"/>
    </w:rPr>
  </w:style>
  <w:style w:type="paragraph" w:styleId="Heading3">
    <w:name w:val="heading 3"/>
    <w:basedOn w:val="Heading31"/>
    <w:next w:val="Normal"/>
    <w:link w:val="Heading3Char"/>
    <w:autoRedefine/>
    <w:qFormat/>
    <w:rsid w:val="00DC75EB"/>
    <w:pPr>
      <w:tabs>
        <w:tab w:val="left" w:pos="1418"/>
      </w:tabs>
      <w:spacing w:before="360"/>
      <w:outlineLvl w:val="2"/>
    </w:pPr>
    <w:rPr>
      <w:b w:val="0"/>
      <w:color w:val="958A7A"/>
      <w:sz w:val="36"/>
      <w:szCs w:val="36"/>
      <w:lang w:val="en-US"/>
      <w14:textFill>
        <w14:solidFill>
          <w14:srgbClr w14:val="958A7A">
            <w14:lumMod w14:val="65000"/>
          </w14:srgbClr>
        </w14:solidFill>
      </w14:textFill>
    </w:rPr>
  </w:style>
  <w:style w:type="paragraph" w:styleId="Heading4">
    <w:name w:val="heading 4"/>
    <w:basedOn w:val="Normal"/>
    <w:next w:val="Normal"/>
    <w:link w:val="Heading4Char"/>
    <w:qFormat/>
    <w:rsid w:val="00DC75EB"/>
    <w:pPr>
      <w:spacing w:before="120" w:after="60"/>
      <w:outlineLvl w:val="3"/>
    </w:pPr>
    <w:rPr>
      <w:b/>
    </w:rPr>
  </w:style>
  <w:style w:type="paragraph" w:styleId="Heading5">
    <w:name w:val="heading 5"/>
    <w:basedOn w:val="Normal"/>
    <w:next w:val="Normal"/>
    <w:link w:val="Heading5Char"/>
    <w:rsid w:val="00D60E63"/>
    <w:pPr>
      <w:numPr>
        <w:ilvl w:val="4"/>
        <w:numId w:val="2"/>
      </w:numPr>
      <w:spacing w:before="240" w:after="60"/>
      <w:outlineLvl w:val="4"/>
    </w:pPr>
    <w:rPr>
      <w:szCs w:val="20"/>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heading2">
    <w:name w:val="cef heading 2"/>
    <w:link w:val="cefheading2Char"/>
    <w:autoRedefine/>
    <w:rsid w:val="00257DF2"/>
    <w:pPr>
      <w:spacing w:before="240" w:line="240" w:lineRule="auto"/>
    </w:pPr>
    <w:rPr>
      <w:rFonts w:ascii="Akrobat Bold" w:eastAsia="Times New Roman" w:hAnsi="Akrobat Bold" w:cs="Arial"/>
      <w:bCs/>
      <w:color w:val="0090A3"/>
      <w:kern w:val="32"/>
      <w:sz w:val="40"/>
      <w:lang w:eastAsia="en-AU"/>
    </w:rPr>
  </w:style>
  <w:style w:type="paragraph" w:customStyle="1" w:styleId="cefheading3">
    <w:name w:val="cef heading 3"/>
    <w:link w:val="cefheading3Char"/>
    <w:autoRedefine/>
    <w:rsid w:val="00257DF2"/>
    <w:pPr>
      <w:spacing w:after="120" w:line="240" w:lineRule="auto"/>
    </w:pPr>
    <w:rPr>
      <w:rFonts w:ascii="Arial" w:eastAsia="Times New Roman" w:hAnsi="Arial" w:cs="Arial"/>
      <w:b/>
      <w:bCs/>
      <w:kern w:val="32"/>
      <w:sz w:val="28"/>
      <w:szCs w:val="32"/>
      <w:lang w:eastAsia="en-AU"/>
    </w:rPr>
  </w:style>
  <w:style w:type="character" w:customStyle="1" w:styleId="cefheading3Char">
    <w:name w:val="cef heading 3 Char"/>
    <w:link w:val="cefheading3"/>
    <w:rsid w:val="00257DF2"/>
    <w:rPr>
      <w:rFonts w:ascii="Arial" w:eastAsia="Times New Roman" w:hAnsi="Arial" w:cs="Arial"/>
      <w:b/>
      <w:bCs/>
      <w:kern w:val="32"/>
      <w:sz w:val="28"/>
      <w:szCs w:val="32"/>
      <w:lang w:eastAsia="en-AU"/>
    </w:rPr>
  </w:style>
  <w:style w:type="paragraph" w:customStyle="1" w:styleId="cefbullet">
    <w:name w:val="cef  bullet"/>
    <w:basedOn w:val="Normal"/>
    <w:link w:val="cefbulletChar"/>
    <w:autoRedefine/>
    <w:rsid w:val="00F47657"/>
    <w:pPr>
      <w:numPr>
        <w:numId w:val="1"/>
      </w:numPr>
      <w:spacing w:before="40" w:after="80"/>
    </w:pPr>
    <w:rPr>
      <w:rFonts w:ascii="Century Gothic" w:hAnsi="Century Gothic"/>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Stylecefpara11ptRed">
    <w:name w:val="Style cef para + 11 pt Red"/>
    <w:basedOn w:val="Normal"/>
    <w:rsid w:val="00F47657"/>
    <w:pPr>
      <w:spacing w:after="160"/>
    </w:pPr>
    <w:rPr>
      <w:rFonts w:ascii="Century Gothic" w:hAnsi="Century Gothic"/>
      <w:color w:val="FF0000"/>
    </w:rPr>
  </w:style>
  <w:style w:type="paragraph" w:customStyle="1" w:styleId="cefredbullet">
    <w:name w:val="cef red bullet"/>
    <w:basedOn w:val="cefbullet"/>
    <w:rsid w:val="00F47657"/>
    <w:rPr>
      <w:color w:val="FF0000"/>
    </w:rPr>
  </w:style>
  <w:style w:type="character" w:customStyle="1" w:styleId="cefheading2Char">
    <w:name w:val="cef heading 2 Char"/>
    <w:link w:val="cefheading2"/>
    <w:rsid w:val="00257DF2"/>
    <w:rPr>
      <w:rFonts w:ascii="Akrobat Bold" w:eastAsia="Times New Roman" w:hAnsi="Akrobat Bold" w:cs="Arial"/>
      <w:bCs/>
      <w:color w:val="0090A3"/>
      <w:kern w:val="32"/>
      <w:sz w:val="40"/>
      <w:lang w:eastAsia="en-AU"/>
    </w:rPr>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397553"/>
    <w:rPr>
      <w:rFonts w:ascii="Arial" w:eastAsia="Times New Roman" w:hAnsi="Arial" w:cs="Arial"/>
      <w:b/>
      <w:noProof/>
      <w:color w:val="0090A3"/>
      <w:sz w:val="72"/>
      <w:szCs w:val="72"/>
      <w:lang w:eastAsia="en-AU"/>
    </w:rPr>
  </w:style>
  <w:style w:type="character" w:customStyle="1" w:styleId="Heading2Char">
    <w:name w:val="Heading 2 Char"/>
    <w:basedOn w:val="DefaultParagraphFont"/>
    <w:link w:val="Heading2"/>
    <w:rsid w:val="00AC1521"/>
    <w:rPr>
      <w:rFonts w:ascii="Arial" w:eastAsia="Times New Roman" w:hAnsi="Arial" w:cs="Arial"/>
      <w:b/>
      <w:bCs/>
      <w:color w:val="193C68"/>
      <w:kern w:val="32"/>
      <w:sz w:val="44"/>
      <w:szCs w:val="44"/>
      <w:lang w:val="en-US" w:eastAsia="en-AU"/>
    </w:rPr>
  </w:style>
  <w:style w:type="character" w:customStyle="1" w:styleId="Heading3Char">
    <w:name w:val="Heading 3 Char"/>
    <w:basedOn w:val="DefaultParagraphFont"/>
    <w:link w:val="Heading3"/>
    <w:rsid w:val="00DC75EB"/>
    <w:rPr>
      <w:rFonts w:ascii="Arial" w:eastAsia="Times New Roman" w:hAnsi="Arial" w:cs="Arial"/>
      <w:noProof/>
      <w:color w:val="958A7A"/>
      <w:sz w:val="36"/>
      <w:szCs w:val="36"/>
      <w:lang w:val="en-US" w:eastAsia="en-AU"/>
      <w14:textFill>
        <w14:solidFill>
          <w14:srgbClr w14:val="958A7A">
            <w14:lumMod w14:val="65000"/>
          </w14:srgbClr>
        </w14:solidFill>
      </w14:textFill>
    </w:rPr>
  </w:style>
  <w:style w:type="character" w:customStyle="1" w:styleId="Heading4Char">
    <w:name w:val="Heading 4 Char"/>
    <w:basedOn w:val="DefaultParagraphFont"/>
    <w:link w:val="Heading4"/>
    <w:rsid w:val="00DC75EB"/>
    <w:rPr>
      <w:rFonts w:ascii="Arial" w:eastAsia="Times New Roman" w:hAnsi="Arial" w:cs="Arial"/>
      <w:b/>
      <w:noProof/>
      <w:color w:val="000000" w:themeColor="text1"/>
      <w:lang w:eastAsia="en-AU"/>
    </w:rPr>
  </w:style>
  <w:style w:type="character" w:customStyle="1" w:styleId="Heading5Char">
    <w:name w:val="Heading 5 Char"/>
    <w:basedOn w:val="DefaultParagraphFont"/>
    <w:link w:val="Heading5"/>
    <w:rsid w:val="00D60E63"/>
    <w:rPr>
      <w:rFonts w:ascii="Arial" w:eastAsia="Times New Roman" w:hAnsi="Arial" w:cs="Arial"/>
      <w:noProof/>
      <w:color w:val="000000" w:themeColor="text1"/>
      <w:szCs w:val="20"/>
      <w:lang w:eastAsia="en-AU"/>
    </w:rPr>
  </w:style>
  <w:style w:type="character" w:customStyle="1" w:styleId="Heading6Char">
    <w:name w:val="Heading 6 Char"/>
    <w:basedOn w:val="DefaultParagraphFont"/>
    <w:link w:val="Heading6"/>
    <w:rsid w:val="00D60E63"/>
    <w:rPr>
      <w:rFonts w:ascii="Arial" w:eastAsia="Times New Roman" w:hAnsi="Arial" w:cs="Arial"/>
      <w:i/>
      <w:noProof/>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noProof/>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noProof/>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noProof/>
      <w:color w:val="000000" w:themeColor="text1"/>
      <w:sz w:val="18"/>
      <w:szCs w:val="20"/>
      <w:lang w:eastAsia="en-AU"/>
    </w:rPr>
  </w:style>
  <w:style w:type="paragraph" w:customStyle="1" w:styleId="body2">
    <w:name w:val="body 2"/>
    <w:basedOn w:val="Normal"/>
    <w:rsid w:val="00D60E63"/>
    <w:pPr>
      <w:keepLines/>
      <w:spacing w:before="120"/>
      <w:ind w:left="993"/>
    </w:pPr>
    <w:rPr>
      <w:sz w:val="20"/>
      <w:szCs w:val="20"/>
    </w:rPr>
  </w:style>
  <w:style w:type="paragraph" w:customStyle="1" w:styleId="cefpara">
    <w:name w:val="cef para"/>
    <w:basedOn w:val="Normal"/>
    <w:link w:val="cefparaChar"/>
    <w:autoRedefine/>
    <w:rsid w:val="002567F4"/>
    <w:pPr>
      <w:spacing w:after="160"/>
    </w:pPr>
    <w:rPr>
      <w:rFonts w:ascii="Calibri Light" w:hAnsi="Calibri Light"/>
      <w:b/>
      <w:color w:val="F2F2F2" w:themeColor="background1" w:themeShade="F2"/>
    </w:rPr>
  </w:style>
  <w:style w:type="character" w:customStyle="1" w:styleId="cefparaChar">
    <w:name w:val="cef para Char"/>
    <w:link w:val="cefpara"/>
    <w:rsid w:val="002567F4"/>
    <w:rPr>
      <w:rFonts w:ascii="Calibri Light" w:eastAsia="Times New Roman" w:hAnsi="Calibri Light" w:cs="Arial"/>
      <w:b/>
      <w:noProof/>
      <w:color w:val="F2F2F2" w:themeColor="background1" w:themeShade="F2"/>
      <w:lang w:eastAsia="en-AU"/>
    </w:rPr>
  </w:style>
  <w:style w:type="paragraph" w:customStyle="1" w:styleId="Stylecefheading410pt">
    <w:name w:val="Style cef heading 4 + 10 pt"/>
    <w:basedOn w:val="Normal"/>
    <w:link w:val="Stylecefheading410ptChar"/>
    <w:rsid w:val="00D60E63"/>
    <w:rPr>
      <w:rFonts w:ascii="Century Gothic" w:hAnsi="Century Gothic"/>
      <w:b/>
      <w:bCs/>
      <w:i/>
      <w:iCs/>
      <w:color w:val="008000"/>
      <w:kern w:val="32"/>
      <w:sz w:val="20"/>
      <w:szCs w:val="32"/>
    </w:rPr>
  </w:style>
  <w:style w:type="character" w:customStyle="1" w:styleId="Stylecefheading410ptChar">
    <w:name w:val="Style cef heading 4 + 10 pt Char"/>
    <w:link w:val="Stylecefheading410pt"/>
    <w:rsid w:val="00D60E63"/>
    <w:rPr>
      <w:rFonts w:ascii="Century Gothic" w:eastAsia="Times New Roman" w:hAnsi="Century Gothic" w:cs="Arial"/>
      <w:b/>
      <w:bCs/>
      <w:i/>
      <w:iCs/>
      <w:color w:val="008000"/>
      <w:kern w:val="32"/>
      <w:sz w:val="20"/>
      <w:szCs w:val="32"/>
      <w:lang w:eastAsia="en-AU"/>
    </w:rPr>
  </w:style>
  <w:style w:type="paragraph" w:customStyle="1" w:styleId="cefparared">
    <w:name w:val="cef para red"/>
    <w:basedOn w:val="cefpara"/>
    <w:link w:val="cefpararedChar"/>
    <w:rsid w:val="007D72D9"/>
    <w:rPr>
      <w:color w:val="FF0000"/>
      <w14:textFill>
        <w14:solidFill>
          <w14:srgbClr w14:val="FF0000">
            <w14:lumMod w14:val="95000"/>
          </w14:srgbClr>
        </w14:solidFill>
      </w14:textFill>
    </w:rPr>
  </w:style>
  <w:style w:type="character" w:customStyle="1" w:styleId="cefpararedChar">
    <w:name w:val="cef para red Char"/>
    <w:link w:val="cefparared"/>
    <w:rsid w:val="007D72D9"/>
    <w:rPr>
      <w:rFonts w:ascii="Century Gothic" w:eastAsia="Times New Roman" w:hAnsi="Century Gothic" w:cs="Times New Roman"/>
      <w:noProof/>
      <w:color w:val="FF0000"/>
      <w:lang w:eastAsia="en-AU"/>
    </w:rPr>
  </w:style>
  <w:style w:type="paragraph" w:customStyle="1" w:styleId="body1">
    <w:name w:val="body 1"/>
    <w:basedOn w:val="Normal"/>
    <w:rsid w:val="007D72D9"/>
    <w:pPr>
      <w:keepLines/>
      <w:spacing w:before="120"/>
      <w:ind w:left="567"/>
    </w:pPr>
    <w:rPr>
      <w:sz w:val="20"/>
      <w:szCs w:val="20"/>
    </w:rPr>
  </w:style>
  <w:style w:type="paragraph" w:customStyle="1" w:styleId="cefheading1">
    <w:name w:val="cef heading 1"/>
    <w:basedOn w:val="Heading1"/>
    <w:link w:val="cefheading1Char"/>
    <w:autoRedefine/>
    <w:rsid w:val="007D72D9"/>
    <w:pPr>
      <w:spacing w:after="200"/>
    </w:pPr>
    <w:rPr>
      <w:bCs/>
      <w:kern w:val="32"/>
      <w:sz w:val="48"/>
      <w:szCs w:val="32"/>
    </w:rPr>
  </w:style>
  <w:style w:type="numbering" w:customStyle="1" w:styleId="StyleHeading110ptGray-50">
    <w:name w:val="Style Heading 1 + 10 pt Gray-50%"/>
    <w:basedOn w:val="NoList"/>
    <w:rsid w:val="007D72D9"/>
    <w:pPr>
      <w:numPr>
        <w:numId w:val="3"/>
      </w:numPr>
    </w:pPr>
  </w:style>
  <w:style w:type="paragraph" w:customStyle="1" w:styleId="Stylecefbullet11ptRed">
    <w:name w:val="Style cef  bullet + 11 pt Red"/>
    <w:basedOn w:val="cefbullet"/>
    <w:rsid w:val="007D72D9"/>
    <w:pPr>
      <w:numPr>
        <w:numId w:val="0"/>
      </w:numPr>
      <w:ind w:left="567" w:hanging="567"/>
    </w:pPr>
    <w:rPr>
      <w:color w:val="FF0000"/>
    </w:rPr>
  </w:style>
  <w:style w:type="character" w:customStyle="1" w:styleId="cefheading1Char">
    <w:name w:val="cef heading 1 Char"/>
    <w:link w:val="cefheading1"/>
    <w:rsid w:val="007D72D9"/>
    <w:rPr>
      <w:rFonts w:ascii="Arial" w:eastAsia="Times New Roman" w:hAnsi="Arial" w:cs="Arial"/>
      <w:b/>
      <w:bCs/>
      <w:kern w:val="32"/>
      <w:sz w:val="48"/>
      <w:szCs w:val="32"/>
      <w:lang w:eastAsia="en-AU"/>
    </w:r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TITLE1">
    <w:name w:val="TITLE1"/>
    <w:basedOn w:val="Normal"/>
    <w:link w:val="TITLE1Char"/>
    <w:qFormat/>
    <w:rsid w:val="00397553"/>
    <w:pPr>
      <w:spacing w:after="240"/>
    </w:pPr>
    <w:rPr>
      <w:b/>
      <w:color w:val="0090A3"/>
      <w:sz w:val="80"/>
      <w:szCs w:val="80"/>
    </w:rPr>
  </w:style>
  <w:style w:type="paragraph" w:customStyle="1" w:styleId="TITLE2">
    <w:name w:val="TITLE 2"/>
    <w:basedOn w:val="Normal"/>
    <w:link w:val="TITLE2Char"/>
    <w:rsid w:val="00982528"/>
    <w:rPr>
      <w:sz w:val="40"/>
      <w:szCs w:val="40"/>
    </w:rPr>
  </w:style>
  <w:style w:type="character" w:customStyle="1" w:styleId="TITLE1Char">
    <w:name w:val="TITLE1 Char"/>
    <w:basedOn w:val="DefaultParagraphFont"/>
    <w:link w:val="TITLE1"/>
    <w:rsid w:val="00397553"/>
    <w:rPr>
      <w:rFonts w:ascii="Arial" w:eastAsia="Times New Roman" w:hAnsi="Arial" w:cs="Arial"/>
      <w:b/>
      <w:noProof/>
      <w:color w:val="0090A3"/>
      <w:sz w:val="80"/>
      <w:szCs w:val="80"/>
      <w:lang w:eastAsia="en-AU"/>
    </w:rPr>
  </w:style>
  <w:style w:type="paragraph" w:customStyle="1" w:styleId="BULLETS">
    <w:name w:val="BULLETS"/>
    <w:basedOn w:val="cefbullet"/>
    <w:link w:val="BULLETSChar"/>
    <w:rsid w:val="00257DF2"/>
    <w:rPr>
      <w:rFonts w:ascii="Arial" w:hAnsi="Arial"/>
    </w:rPr>
  </w:style>
  <w:style w:type="character" w:customStyle="1" w:styleId="TITLE2Char">
    <w:name w:val="TITLE 2 Char"/>
    <w:basedOn w:val="DefaultParagraphFont"/>
    <w:link w:val="TITLE2"/>
    <w:rsid w:val="00982528"/>
    <w:rPr>
      <w:rFonts w:ascii="Arial" w:eastAsia="Times New Roman" w:hAnsi="Arial" w:cs="Arial"/>
      <w:sz w:val="40"/>
      <w:szCs w:val="40"/>
      <w:lang w:eastAsia="en-AU"/>
    </w:rPr>
  </w:style>
  <w:style w:type="paragraph" w:customStyle="1" w:styleId="Heading11">
    <w:name w:val="Heading 11"/>
    <w:basedOn w:val="TITLE1"/>
    <w:link w:val="HEADING1Char0"/>
    <w:rsid w:val="000C2FF8"/>
    <w:rPr>
      <w:b w:val="0"/>
      <w:sz w:val="40"/>
      <w:szCs w:val="40"/>
    </w:rPr>
  </w:style>
  <w:style w:type="character" w:customStyle="1" w:styleId="cefbulletChar">
    <w:name w:val="cef  bullet Char"/>
    <w:basedOn w:val="DefaultParagraphFont"/>
    <w:link w:val="cefbullet"/>
    <w:rsid w:val="00257DF2"/>
    <w:rPr>
      <w:rFonts w:ascii="Century Gothic" w:eastAsia="Times New Roman" w:hAnsi="Century Gothic" w:cs="Arial"/>
      <w:noProof/>
      <w:color w:val="000000" w:themeColor="text1"/>
      <w:lang w:eastAsia="en-AU"/>
    </w:rPr>
  </w:style>
  <w:style w:type="character" w:customStyle="1" w:styleId="BULLETSChar">
    <w:name w:val="BULLETS Char"/>
    <w:basedOn w:val="cefbulletChar"/>
    <w:link w:val="BULLETS"/>
    <w:rsid w:val="00257DF2"/>
    <w:rPr>
      <w:rFonts w:ascii="Arial" w:eastAsia="Times New Roman" w:hAnsi="Arial" w:cs="Arial"/>
      <w:noProof/>
      <w:color w:val="000000" w:themeColor="text1"/>
      <w:lang w:eastAsia="en-AU"/>
    </w:rPr>
  </w:style>
  <w:style w:type="paragraph" w:customStyle="1" w:styleId="Heading21">
    <w:name w:val="Heading 21"/>
    <w:basedOn w:val="cefheading3"/>
    <w:link w:val="HEADING2Char0"/>
    <w:rsid w:val="00516686"/>
    <w:pPr>
      <w:spacing w:before="360"/>
    </w:pPr>
    <w:rPr>
      <w:sz w:val="32"/>
    </w:rPr>
  </w:style>
  <w:style w:type="character" w:customStyle="1" w:styleId="HEADING1Char0">
    <w:name w:val="HEADING 1 Char"/>
    <w:basedOn w:val="cefheading2Char"/>
    <w:link w:val="Heading11"/>
    <w:rsid w:val="000C2FF8"/>
    <w:rPr>
      <w:rFonts w:ascii="Arial" w:eastAsia="Times New Roman" w:hAnsi="Arial" w:cs="Arial"/>
      <w:b/>
      <w:bCs w:val="0"/>
      <w:noProof/>
      <w:color w:val="0090A3"/>
      <w:kern w:val="32"/>
      <w:sz w:val="40"/>
      <w:szCs w:val="40"/>
      <w:lang w:eastAsia="en-AU"/>
    </w:rPr>
  </w:style>
  <w:style w:type="paragraph" w:customStyle="1" w:styleId="TABLENORMAL0">
    <w:name w:val="TABLE NORMAL"/>
    <w:basedOn w:val="Normal"/>
    <w:qFormat/>
    <w:rsid w:val="00E746B2"/>
  </w:style>
  <w:style w:type="character" w:customStyle="1" w:styleId="HEADING2Char0">
    <w:name w:val="HEADING 2 Char"/>
    <w:basedOn w:val="cefheading3Char"/>
    <w:link w:val="Heading21"/>
    <w:rsid w:val="00516686"/>
    <w:rPr>
      <w:rFonts w:ascii="Arial" w:eastAsia="Times New Roman" w:hAnsi="Arial" w:cs="Arial"/>
      <w:b/>
      <w:bCs/>
      <w:kern w:val="32"/>
      <w:sz w:val="32"/>
      <w:szCs w:val="32"/>
      <w:lang w:eastAsia="en-AU"/>
    </w:rPr>
  </w:style>
  <w:style w:type="paragraph" w:customStyle="1" w:styleId="TABLEBULLETS">
    <w:name w:val="TABLE BULLETS"/>
    <w:basedOn w:val="cefbullet"/>
    <w:qFormat/>
    <w:rsid w:val="0002707D"/>
    <w:pPr>
      <w:spacing w:before="0" w:after="0"/>
      <w:ind w:left="357" w:hanging="357"/>
    </w:pPr>
    <w:rPr>
      <w:rFonts w:ascii="Arial" w:hAnsi="Arial"/>
    </w:rPr>
  </w:style>
  <w:style w:type="paragraph" w:customStyle="1" w:styleId="TABLEHEADING">
    <w:name w:val="TABLE HEADING"/>
    <w:basedOn w:val="cefparared"/>
    <w:qFormat/>
    <w:rsid w:val="00E746B2"/>
    <w:pPr>
      <w:spacing w:after="0"/>
    </w:pPr>
    <w:rPr>
      <w:rFonts w:ascii="Arial" w:hAnsi="Arial"/>
      <w:color w:val="F2F2F2" w:themeColor="background1" w:themeShade="F2"/>
    </w:rPr>
  </w:style>
  <w:style w:type="paragraph" w:customStyle="1" w:styleId="Heading31">
    <w:name w:val="Heading 31"/>
    <w:basedOn w:val="Normal"/>
    <w:rsid w:val="00C95AEB"/>
    <w:rPr>
      <w:b/>
      <w:sz w:val="28"/>
      <w:szCs w:val="28"/>
    </w:rPr>
  </w:style>
  <w:style w:type="paragraph" w:customStyle="1" w:styleId="TITLE4">
    <w:name w:val="TITLE 4"/>
    <w:basedOn w:val="TITLE2"/>
    <w:rsid w:val="00DD1FD7"/>
    <w:pPr>
      <w:spacing w:after="0"/>
    </w:pPr>
    <w:rPr>
      <w:b/>
      <w:color w:val="FFFFFF" w:themeColor="background1"/>
    </w:rPr>
  </w:style>
  <w:style w:type="paragraph" w:customStyle="1" w:styleId="TITLE3">
    <w:name w:val="TITLE 3"/>
    <w:basedOn w:val="TITLE1"/>
    <w:rsid w:val="00472D78"/>
    <w:rPr>
      <w:color w:val="FFFFFF" w:themeColor="background1"/>
      <w:sz w:val="24"/>
      <w:szCs w:val="24"/>
    </w:rPr>
  </w:style>
  <w:style w:type="paragraph" w:customStyle="1" w:styleId="BasicParagraph">
    <w:name w:val="[Basic Paragraph]"/>
    <w:basedOn w:val="Normal"/>
    <w:uiPriority w:val="99"/>
    <w:rsid w:val="009C64CB"/>
    <w:pPr>
      <w:tabs>
        <w:tab w:val="clear" w:pos="-3060"/>
        <w:tab w:val="clear" w:pos="-2340"/>
        <w:tab w:val="clear" w:pos="6300"/>
      </w:tabs>
      <w:suppressAutoHyphens w:val="0"/>
      <w:autoSpaceDE w:val="0"/>
      <w:autoSpaceDN w:val="0"/>
      <w:adjustRightInd w:val="0"/>
      <w:spacing w:after="0" w:line="288" w:lineRule="auto"/>
      <w:textAlignment w:val="center"/>
    </w:pPr>
    <w:rPr>
      <w:rFonts w:ascii="Minion Pro" w:eastAsiaTheme="minorHAnsi" w:hAnsi="Minion Pro" w:cs="Minion Pro"/>
      <w:noProof w:val="0"/>
      <w:color w:val="000000"/>
      <w:sz w:val="24"/>
      <w:szCs w:val="24"/>
      <w:lang w:val="en-GB" w:eastAsia="en-US"/>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noProof w:val="0"/>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noProof w:val="0"/>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uiPriority w:val="1"/>
    <w:rsid w:val="00EC021A"/>
    <w:pPr>
      <w:numPr>
        <w:numId w:val="4"/>
      </w:numPr>
      <w:spacing w:after="0" w:line="240" w:lineRule="auto"/>
    </w:p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4">
    <w:name w:val="H 4"/>
    <w:basedOn w:val="Normal"/>
    <w:link w:val="H4Char"/>
    <w:rsid w:val="00AC1521"/>
    <w:rPr>
      <w:b/>
      <w:sz w:val="28"/>
      <w:szCs w:val="28"/>
      <w:lang w:val="en-US"/>
    </w:rPr>
  </w:style>
  <w:style w:type="character" w:customStyle="1" w:styleId="H4Char">
    <w:name w:val="H 4 Char"/>
    <w:basedOn w:val="DefaultParagraphFont"/>
    <w:link w:val="H4"/>
    <w:rsid w:val="00AC1521"/>
    <w:rPr>
      <w:rFonts w:ascii="Arial" w:eastAsia="Times New Roman" w:hAnsi="Arial" w:cs="Arial"/>
      <w:b/>
      <w:noProof/>
      <w:color w:val="000000" w:themeColor="text1"/>
      <w:sz w:val="28"/>
      <w:szCs w:val="28"/>
      <w:lang w:val="en-US" w:eastAsia="en-AU"/>
    </w:rPr>
  </w:style>
  <w:style w:type="paragraph" w:styleId="TOCHeading">
    <w:name w:val="TOC Heading"/>
    <w:basedOn w:val="Heading1"/>
    <w:next w:val="Normal"/>
    <w:uiPriority w:val="39"/>
    <w:unhideWhenUsed/>
    <w:rsid w:val="00104AEA"/>
    <w:pPr>
      <w:keepNext/>
      <w:keepLines/>
      <w:tabs>
        <w:tab w:val="clear" w:pos="-3060"/>
        <w:tab w:val="clear" w:pos="-2340"/>
        <w:tab w:val="clear" w:pos="6300"/>
      </w:tabs>
      <w:suppressAutoHyphens w:val="0"/>
      <w:spacing w:before="240" w:after="0" w:line="259" w:lineRule="auto"/>
      <w:outlineLvl w:val="9"/>
    </w:pPr>
    <w:rPr>
      <w:rFonts w:asciiTheme="majorHAnsi" w:eastAsiaTheme="majorEastAsia" w:hAnsiTheme="majorHAnsi" w:cstheme="majorBidi"/>
      <w:noProof w:val="0"/>
      <w:color w:val="2E74B5" w:themeColor="accent1" w:themeShade="BF"/>
      <w:sz w:val="32"/>
      <w:szCs w:val="32"/>
      <w:lang w:val="en-US" w:eastAsia="en-US"/>
    </w:rPr>
  </w:style>
  <w:style w:type="paragraph" w:styleId="TOC1">
    <w:name w:val="toc 1"/>
    <w:basedOn w:val="Normal"/>
    <w:next w:val="Normal"/>
    <w:autoRedefine/>
    <w:uiPriority w:val="39"/>
    <w:unhideWhenUsed/>
    <w:rsid w:val="00104AEA"/>
    <w:pPr>
      <w:tabs>
        <w:tab w:val="clear" w:pos="-3060"/>
        <w:tab w:val="clear" w:pos="-2340"/>
        <w:tab w:val="clear" w:pos="6300"/>
      </w:tabs>
      <w:spacing w:after="100"/>
    </w:pPr>
  </w:style>
  <w:style w:type="paragraph" w:styleId="TOC3">
    <w:name w:val="toc 3"/>
    <w:basedOn w:val="Normal"/>
    <w:next w:val="Normal"/>
    <w:autoRedefine/>
    <w:uiPriority w:val="39"/>
    <w:unhideWhenUsed/>
    <w:rsid w:val="00104AEA"/>
    <w:pPr>
      <w:tabs>
        <w:tab w:val="clear" w:pos="-3060"/>
        <w:tab w:val="clear" w:pos="-2340"/>
        <w:tab w:val="clear" w:pos="6300"/>
      </w:tabs>
      <w:spacing w:after="100"/>
      <w:ind w:left="440"/>
    </w:pPr>
  </w:style>
  <w:style w:type="paragraph" w:styleId="TOC2">
    <w:name w:val="toc 2"/>
    <w:basedOn w:val="Normal"/>
    <w:next w:val="Normal"/>
    <w:autoRedefine/>
    <w:uiPriority w:val="39"/>
    <w:unhideWhenUsed/>
    <w:rsid w:val="00104AEA"/>
    <w:pPr>
      <w:tabs>
        <w:tab w:val="clear" w:pos="-3060"/>
        <w:tab w:val="clear" w:pos="-2340"/>
        <w:tab w:val="clear" w:pos="6300"/>
      </w:tabs>
      <w:spacing w:after="100"/>
      <w:ind w:left="220"/>
    </w:p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C95F79"/>
    <w:pPr>
      <w:numPr>
        <w:numId w:val="5"/>
      </w:numPr>
      <w:tabs>
        <w:tab w:val="clear" w:pos="-3060"/>
        <w:tab w:val="clear" w:pos="-2340"/>
        <w:tab w:val="clear" w:pos="6300"/>
        <w:tab w:val="right" w:pos="8931"/>
      </w:tabs>
      <w:suppressAutoHyphens w:val="0"/>
    </w:pPr>
    <w:rPr>
      <w:rFonts w:eastAsia="Calibri"/>
      <w:color w:val="auto"/>
      <w:sz w:val="24"/>
      <w:szCs w:val="24"/>
      <w:lang w:eastAsia="en-US"/>
    </w:rPr>
  </w:style>
  <w:style w:type="character" w:customStyle="1" w:styleId="NormalBulletsChar">
    <w:name w:val="Normal Bullets Char"/>
    <w:basedOn w:val="DefaultParagraphFont"/>
    <w:link w:val="NormalBullets"/>
    <w:rsid w:val="00C95F79"/>
    <w:rPr>
      <w:rFonts w:ascii="Arial" w:eastAsia="Calibri" w:hAnsi="Arial" w:cs="Arial"/>
      <w:noProof/>
      <w:sz w:val="24"/>
      <w:szCs w:val="24"/>
    </w:rPr>
  </w:style>
  <w:style w:type="paragraph" w:customStyle="1" w:styleId="Title20">
    <w:name w:val="Title 2"/>
    <w:basedOn w:val="TITLE2"/>
    <w:link w:val="Title2Char0"/>
    <w:qFormat/>
    <w:rsid w:val="00F65372"/>
  </w:style>
  <w:style w:type="character" w:customStyle="1" w:styleId="Title2Char0">
    <w:name w:val="Title 2 Char"/>
    <w:basedOn w:val="TITLE2Char"/>
    <w:link w:val="Title20"/>
    <w:rsid w:val="00F65372"/>
    <w:rPr>
      <w:rFonts w:ascii="Arial" w:eastAsia="Times New Roman" w:hAnsi="Arial" w:cs="Arial"/>
      <w:noProof/>
      <w:color w:val="000000" w:themeColor="text1"/>
      <w:sz w:val="40"/>
      <w:szCs w:val="40"/>
      <w:lang w:eastAsia="en-AU"/>
    </w:rPr>
  </w:style>
  <w:style w:type="paragraph" w:styleId="BodyText">
    <w:name w:val="Body Text"/>
    <w:basedOn w:val="Normal"/>
    <w:link w:val="BodyTextChar"/>
    <w:rsid w:val="00ED673F"/>
    <w:pPr>
      <w:tabs>
        <w:tab w:val="clear" w:pos="-3060"/>
        <w:tab w:val="clear" w:pos="-2340"/>
        <w:tab w:val="clear" w:pos="6300"/>
      </w:tabs>
      <w:suppressAutoHyphens w:val="0"/>
      <w:spacing w:line="312" w:lineRule="auto"/>
    </w:pPr>
    <w:rPr>
      <w:rFonts w:ascii="Trebuchet MS" w:hAnsi="Trebuchet MS" w:cs="Times New Roman"/>
      <w:noProof w:val="0"/>
      <w:color w:val="auto"/>
      <w:szCs w:val="24"/>
      <w:lang w:eastAsia="en-US"/>
    </w:rPr>
  </w:style>
  <w:style w:type="character" w:customStyle="1" w:styleId="BodyTextChar">
    <w:name w:val="Body Text Char"/>
    <w:basedOn w:val="DefaultParagraphFont"/>
    <w:link w:val="BodyText"/>
    <w:rsid w:val="00ED673F"/>
    <w:rPr>
      <w:rFonts w:ascii="Trebuchet MS" w:eastAsia="Times New Roman" w:hAnsi="Trebuchet MS" w:cs="Times New Roman"/>
      <w:szCs w:val="24"/>
    </w:rPr>
  </w:style>
  <w:style w:type="table" w:styleId="TableContemporary">
    <w:name w:val="Table Contemporary"/>
    <w:basedOn w:val="TableNormal"/>
    <w:rsid w:val="00ED673F"/>
    <w:pPr>
      <w:spacing w:after="0" w:line="240"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3ABA9-DF08-4462-AA2B-AF4A1F740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6519</Words>
  <Characters>37159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City of Marion</Company>
  <LinksUpToDate>false</LinksUpToDate>
  <CharactersWithSpaces>43591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bound</dc:creator>
  <cp:keywords/>
  <dc:description/>
  <cp:lastModifiedBy>Veronica Jenkin</cp:lastModifiedBy>
  <cp:revision>2</cp:revision>
  <cp:lastPrinted>2017-11-28T03:50:00Z</cp:lastPrinted>
  <dcterms:created xsi:type="dcterms:W3CDTF">2020-07-17T23:31:00Z</dcterms:created>
  <dcterms:modified xsi:type="dcterms:W3CDTF">2020-07-17T23:31:00Z</dcterms:modified>
</cp:coreProperties>
</file>